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E5A5" w14:textId="72FDF2A0" w:rsidR="009525E4" w:rsidRPr="00515CD5" w:rsidRDefault="00C2518C" w:rsidP="003D4B42">
      <w:pPr>
        <w:pStyle w:val="Title"/>
      </w:pPr>
      <w:r>
        <w:t>2021-2022 Annual Report</w:t>
      </w:r>
    </w:p>
    <w:p w14:paraId="7C6D639D" w14:textId="70178DC9" w:rsidR="00793E78" w:rsidRDefault="00C2518C" w:rsidP="00515CD5">
      <w:pPr>
        <w:spacing w:line="276" w:lineRule="auto"/>
        <w:rPr>
          <w:rFonts w:cstheme="minorHAnsi"/>
          <w:sz w:val="24"/>
          <w:szCs w:val="24"/>
        </w:rPr>
      </w:pPr>
      <w:r>
        <w:rPr>
          <w:rFonts w:cstheme="minorHAnsi"/>
          <w:sz w:val="24"/>
          <w:szCs w:val="24"/>
        </w:rPr>
        <w:t>Website</w:t>
      </w:r>
      <w:r w:rsidR="00793E78">
        <w:rPr>
          <w:rFonts w:cstheme="minorHAnsi"/>
          <w:sz w:val="24"/>
          <w:szCs w:val="24"/>
        </w:rPr>
        <w:t xml:space="preserve">: </w:t>
      </w:r>
      <w:r>
        <w:rPr>
          <w:rFonts w:cstheme="minorHAnsi"/>
          <w:sz w:val="24"/>
          <w:szCs w:val="24"/>
        </w:rPr>
        <w:t>www.myvcb.org</w:t>
      </w:r>
    </w:p>
    <w:p w14:paraId="58ED98B7" w14:textId="4B85AB21" w:rsidR="009764A5" w:rsidRPr="00515CD5" w:rsidRDefault="00C2518C" w:rsidP="00515CD5">
      <w:pPr>
        <w:spacing w:line="276" w:lineRule="auto"/>
        <w:rPr>
          <w:rFonts w:cstheme="minorHAnsi"/>
          <w:sz w:val="24"/>
          <w:szCs w:val="24"/>
        </w:rPr>
      </w:pPr>
      <w:r>
        <w:rPr>
          <w:rFonts w:cstheme="minorHAnsi"/>
          <w:sz w:val="24"/>
          <w:szCs w:val="24"/>
        </w:rPr>
        <w:t>Valley Center for the Blind</w:t>
      </w:r>
    </w:p>
    <w:p w14:paraId="38A667FF" w14:textId="14B9B782" w:rsidR="009764A5" w:rsidRDefault="00515CD5" w:rsidP="00515CD5">
      <w:pPr>
        <w:spacing w:line="276" w:lineRule="auto"/>
        <w:rPr>
          <w:rFonts w:cstheme="minorHAnsi"/>
          <w:sz w:val="24"/>
          <w:szCs w:val="24"/>
        </w:rPr>
      </w:pPr>
      <w:r>
        <w:rPr>
          <w:rFonts w:cstheme="minorHAnsi"/>
          <w:sz w:val="24"/>
          <w:szCs w:val="24"/>
        </w:rPr>
        <w:t xml:space="preserve">*All images, </w:t>
      </w:r>
      <w:r w:rsidR="0067306F">
        <w:rPr>
          <w:rFonts w:cstheme="minorHAnsi"/>
          <w:sz w:val="24"/>
          <w:szCs w:val="24"/>
        </w:rPr>
        <w:t>graphs</w:t>
      </w:r>
      <w:r>
        <w:rPr>
          <w:rFonts w:cstheme="minorHAnsi"/>
          <w:sz w:val="24"/>
          <w:szCs w:val="24"/>
        </w:rPr>
        <w:t xml:space="preserve">, and visual formatting have been removed from this document for ease of use with a screen reader. Content remains the same and can be found also on the PDF Annual Report. </w:t>
      </w:r>
    </w:p>
    <w:p w14:paraId="155462D6" w14:textId="616074CC" w:rsidR="00E03D3C" w:rsidRDefault="00E03D3C" w:rsidP="00515CD5">
      <w:pPr>
        <w:spacing w:line="276" w:lineRule="auto"/>
        <w:rPr>
          <w:rFonts w:cstheme="minorHAnsi"/>
          <w:sz w:val="24"/>
          <w:szCs w:val="24"/>
        </w:rPr>
      </w:pPr>
    </w:p>
    <w:p w14:paraId="5C82C157" w14:textId="464D2D81" w:rsidR="00C2518C" w:rsidRDefault="00C2518C" w:rsidP="00C2518C">
      <w:pPr>
        <w:pStyle w:val="Heading1"/>
      </w:pPr>
      <w:r>
        <w:t>ABOUT US</w:t>
      </w:r>
    </w:p>
    <w:p w14:paraId="7A758D78" w14:textId="77777777" w:rsidR="00C2518C" w:rsidRPr="00C2518C" w:rsidRDefault="00C2518C" w:rsidP="00C2518C"/>
    <w:p w14:paraId="7D632B3A" w14:textId="77777777" w:rsidR="00C2518C" w:rsidRPr="00C2518C" w:rsidRDefault="00C2518C" w:rsidP="00C2518C">
      <w:pPr>
        <w:pStyle w:val="Heading2"/>
      </w:pPr>
      <w:r w:rsidRPr="00C2518C">
        <w:t>MISSION</w:t>
      </w:r>
    </w:p>
    <w:p w14:paraId="607E54EB" w14:textId="580234BE" w:rsidR="00C2518C" w:rsidRPr="00C2518C" w:rsidRDefault="00C2518C" w:rsidP="00C2518C">
      <w:pPr>
        <w:spacing w:line="276" w:lineRule="auto"/>
        <w:rPr>
          <w:rFonts w:cstheme="minorHAnsi"/>
          <w:sz w:val="24"/>
          <w:szCs w:val="24"/>
        </w:rPr>
      </w:pPr>
      <w:r w:rsidRPr="00C2518C">
        <w:rPr>
          <w:rFonts w:cstheme="minorHAnsi"/>
          <w:sz w:val="24"/>
          <w:szCs w:val="24"/>
        </w:rPr>
        <w:t>Valley Center for the Blind supports, trains, and employs people who are</w:t>
      </w:r>
      <w:r>
        <w:rPr>
          <w:rFonts w:cstheme="minorHAnsi"/>
          <w:sz w:val="24"/>
          <w:szCs w:val="24"/>
        </w:rPr>
        <w:t xml:space="preserve"> </w:t>
      </w:r>
      <w:r w:rsidRPr="00C2518C">
        <w:rPr>
          <w:rFonts w:cstheme="minorHAnsi"/>
          <w:sz w:val="24"/>
          <w:szCs w:val="24"/>
        </w:rPr>
        <w:t>blind or have low</w:t>
      </w:r>
      <w:r>
        <w:rPr>
          <w:rFonts w:cstheme="minorHAnsi"/>
          <w:sz w:val="24"/>
          <w:szCs w:val="24"/>
        </w:rPr>
        <w:t xml:space="preserve"> </w:t>
      </w:r>
      <w:r w:rsidRPr="00C2518C">
        <w:rPr>
          <w:rFonts w:cstheme="minorHAnsi"/>
          <w:sz w:val="24"/>
          <w:szCs w:val="24"/>
        </w:rPr>
        <w:t>vision.</w:t>
      </w:r>
    </w:p>
    <w:p w14:paraId="698C9728" w14:textId="77777777" w:rsidR="00C2518C" w:rsidRPr="00C2518C" w:rsidRDefault="00C2518C" w:rsidP="00C2518C">
      <w:pPr>
        <w:pStyle w:val="Heading2"/>
      </w:pPr>
      <w:r w:rsidRPr="00C2518C">
        <w:t>HISTORY</w:t>
      </w:r>
    </w:p>
    <w:p w14:paraId="518FC6ED" w14:textId="54E9E6BB" w:rsidR="00C2518C" w:rsidRPr="00C2518C" w:rsidRDefault="00C2518C" w:rsidP="00C2518C">
      <w:pPr>
        <w:spacing w:line="276" w:lineRule="auto"/>
        <w:rPr>
          <w:rFonts w:cstheme="minorHAnsi"/>
          <w:sz w:val="24"/>
          <w:szCs w:val="24"/>
        </w:rPr>
      </w:pPr>
      <w:r w:rsidRPr="00C2518C">
        <w:rPr>
          <w:rFonts w:cstheme="minorHAnsi"/>
          <w:sz w:val="24"/>
          <w:szCs w:val="24"/>
        </w:rPr>
        <w:t>Valley Center for the Blind was originally established in 1973 by Dr. Andrea</w:t>
      </w:r>
      <w:r>
        <w:rPr>
          <w:rFonts w:cstheme="minorHAnsi"/>
          <w:sz w:val="24"/>
          <w:szCs w:val="24"/>
        </w:rPr>
        <w:t xml:space="preserve"> </w:t>
      </w:r>
      <w:r w:rsidRPr="00C2518C">
        <w:rPr>
          <w:rFonts w:cstheme="minorHAnsi"/>
          <w:sz w:val="24"/>
          <w:szCs w:val="24"/>
        </w:rPr>
        <w:t>Schwartz as</w:t>
      </w:r>
      <w:r>
        <w:rPr>
          <w:rFonts w:cstheme="minorHAnsi"/>
          <w:sz w:val="24"/>
          <w:szCs w:val="24"/>
        </w:rPr>
        <w:t xml:space="preserve"> </w:t>
      </w:r>
      <w:r w:rsidRPr="00C2518C">
        <w:rPr>
          <w:rFonts w:cstheme="minorHAnsi"/>
          <w:sz w:val="24"/>
          <w:szCs w:val="24"/>
        </w:rPr>
        <w:t>“Friendship Center for the Blind,” and was intended as a place</w:t>
      </w:r>
      <w:r>
        <w:rPr>
          <w:rFonts w:cstheme="minorHAnsi"/>
          <w:sz w:val="24"/>
          <w:szCs w:val="24"/>
        </w:rPr>
        <w:t xml:space="preserve"> </w:t>
      </w:r>
      <w:r w:rsidRPr="00C2518C">
        <w:rPr>
          <w:rFonts w:cstheme="minorHAnsi"/>
          <w:sz w:val="24"/>
          <w:szCs w:val="24"/>
        </w:rPr>
        <w:t>for seniors with vision loss to come together for support and bonding.</w:t>
      </w:r>
      <w:r>
        <w:rPr>
          <w:rFonts w:cstheme="minorHAnsi"/>
          <w:sz w:val="24"/>
          <w:szCs w:val="24"/>
        </w:rPr>
        <w:t xml:space="preserve"> </w:t>
      </w:r>
      <w:r w:rsidRPr="00C2518C">
        <w:rPr>
          <w:rFonts w:cstheme="minorHAnsi"/>
          <w:sz w:val="24"/>
          <w:szCs w:val="24"/>
        </w:rPr>
        <w:t>Over time, the organization has grown to meet the significant need for</w:t>
      </w:r>
      <w:r>
        <w:rPr>
          <w:rFonts w:cstheme="minorHAnsi"/>
          <w:sz w:val="24"/>
          <w:szCs w:val="24"/>
        </w:rPr>
        <w:t xml:space="preserve"> </w:t>
      </w:r>
      <w:r w:rsidRPr="00C2518C">
        <w:rPr>
          <w:rFonts w:cstheme="minorHAnsi"/>
          <w:sz w:val="24"/>
          <w:szCs w:val="24"/>
        </w:rPr>
        <w:t>specialized blindness services and transformed into what is now known as</w:t>
      </w:r>
      <w:r>
        <w:rPr>
          <w:rFonts w:cstheme="minorHAnsi"/>
          <w:sz w:val="24"/>
          <w:szCs w:val="24"/>
        </w:rPr>
        <w:t xml:space="preserve"> </w:t>
      </w:r>
      <w:r w:rsidRPr="00C2518C">
        <w:rPr>
          <w:rFonts w:cstheme="minorHAnsi"/>
          <w:sz w:val="24"/>
          <w:szCs w:val="24"/>
        </w:rPr>
        <w:t xml:space="preserve">Valley Center for the </w:t>
      </w:r>
      <w:proofErr w:type="gramStart"/>
      <w:r w:rsidRPr="00C2518C">
        <w:rPr>
          <w:rFonts w:cstheme="minorHAnsi"/>
          <w:sz w:val="24"/>
          <w:szCs w:val="24"/>
        </w:rPr>
        <w:t>Blind(</w:t>
      </w:r>
      <w:proofErr w:type="gramEnd"/>
      <w:r w:rsidRPr="00C2518C">
        <w:rPr>
          <w:rFonts w:cstheme="minorHAnsi"/>
          <w:sz w:val="24"/>
          <w:szCs w:val="24"/>
        </w:rPr>
        <w:t>VCB), which now serves Madera, Fresno, Kings,</w:t>
      </w:r>
      <w:r>
        <w:rPr>
          <w:rFonts w:cstheme="minorHAnsi"/>
          <w:sz w:val="24"/>
          <w:szCs w:val="24"/>
        </w:rPr>
        <w:t xml:space="preserve"> </w:t>
      </w:r>
      <w:r w:rsidRPr="00C2518C">
        <w:rPr>
          <w:rFonts w:cstheme="minorHAnsi"/>
          <w:sz w:val="24"/>
          <w:szCs w:val="24"/>
        </w:rPr>
        <w:t>Tulare, and Kern Counties.</w:t>
      </w:r>
    </w:p>
    <w:p w14:paraId="13C07AEE" w14:textId="0D9979D2" w:rsidR="00C2518C" w:rsidRPr="00C2518C" w:rsidRDefault="00C2518C" w:rsidP="00C2518C">
      <w:pPr>
        <w:pStyle w:val="Heading3"/>
      </w:pPr>
      <w:r w:rsidRPr="00C2518C">
        <w:t>CORE VALUES</w:t>
      </w:r>
    </w:p>
    <w:p w14:paraId="6059A5BB" w14:textId="77777777" w:rsidR="00C2518C" w:rsidRDefault="00C2518C" w:rsidP="00C2518C">
      <w:pPr>
        <w:pStyle w:val="ListParagraph"/>
        <w:numPr>
          <w:ilvl w:val="0"/>
          <w:numId w:val="4"/>
        </w:numPr>
        <w:spacing w:line="276" w:lineRule="auto"/>
        <w:rPr>
          <w:rFonts w:cstheme="minorHAnsi"/>
          <w:sz w:val="24"/>
          <w:szCs w:val="24"/>
        </w:rPr>
      </w:pPr>
      <w:r w:rsidRPr="00C2518C">
        <w:rPr>
          <w:rFonts w:cstheme="minorHAnsi"/>
          <w:sz w:val="24"/>
          <w:szCs w:val="24"/>
        </w:rPr>
        <w:t xml:space="preserve">Driven towards progress and </w:t>
      </w:r>
      <w:proofErr w:type="gramStart"/>
      <w:r w:rsidRPr="00C2518C">
        <w:rPr>
          <w:rFonts w:cstheme="minorHAnsi"/>
          <w:sz w:val="24"/>
          <w:szCs w:val="24"/>
        </w:rPr>
        <w:t>quality</w:t>
      </w:r>
      <w:proofErr w:type="gramEnd"/>
      <w:r>
        <w:rPr>
          <w:rFonts w:cstheme="minorHAnsi"/>
          <w:sz w:val="24"/>
          <w:szCs w:val="24"/>
        </w:rPr>
        <w:t xml:space="preserve"> </w:t>
      </w:r>
    </w:p>
    <w:p w14:paraId="60C754D0" w14:textId="77777777" w:rsidR="00C2518C" w:rsidRDefault="00C2518C" w:rsidP="00C2518C">
      <w:pPr>
        <w:pStyle w:val="ListParagraph"/>
        <w:numPr>
          <w:ilvl w:val="0"/>
          <w:numId w:val="4"/>
        </w:numPr>
        <w:spacing w:line="276" w:lineRule="auto"/>
        <w:rPr>
          <w:rFonts w:cstheme="minorHAnsi"/>
          <w:sz w:val="24"/>
          <w:szCs w:val="24"/>
        </w:rPr>
      </w:pPr>
      <w:r w:rsidRPr="00C2518C">
        <w:rPr>
          <w:rFonts w:cstheme="minorHAnsi"/>
          <w:sz w:val="24"/>
          <w:szCs w:val="24"/>
        </w:rPr>
        <w:t>Foster personal accountability and empowerment</w:t>
      </w:r>
      <w:r>
        <w:rPr>
          <w:rFonts w:cstheme="minorHAnsi"/>
          <w:sz w:val="24"/>
          <w:szCs w:val="24"/>
        </w:rPr>
        <w:t xml:space="preserve"> </w:t>
      </w:r>
    </w:p>
    <w:p w14:paraId="270E9EF1" w14:textId="77777777" w:rsidR="00C2518C" w:rsidRDefault="00C2518C" w:rsidP="00C2518C">
      <w:pPr>
        <w:pStyle w:val="ListParagraph"/>
        <w:numPr>
          <w:ilvl w:val="0"/>
          <w:numId w:val="4"/>
        </w:numPr>
        <w:spacing w:line="276" w:lineRule="auto"/>
        <w:rPr>
          <w:rFonts w:cstheme="minorHAnsi"/>
          <w:sz w:val="24"/>
          <w:szCs w:val="24"/>
        </w:rPr>
      </w:pPr>
      <w:r w:rsidRPr="00C2518C">
        <w:rPr>
          <w:rFonts w:cstheme="minorHAnsi"/>
          <w:sz w:val="24"/>
          <w:szCs w:val="24"/>
        </w:rPr>
        <w:t>Care Personally – Challenge Directly</w:t>
      </w:r>
      <w:r>
        <w:rPr>
          <w:rFonts w:cstheme="minorHAnsi"/>
          <w:sz w:val="24"/>
          <w:szCs w:val="24"/>
        </w:rPr>
        <w:t xml:space="preserve"> </w:t>
      </w:r>
    </w:p>
    <w:p w14:paraId="6CACF8FE" w14:textId="76F4457C" w:rsidR="00C2518C" w:rsidRDefault="00C2518C" w:rsidP="00C2518C">
      <w:pPr>
        <w:pStyle w:val="ListParagraph"/>
        <w:numPr>
          <w:ilvl w:val="0"/>
          <w:numId w:val="4"/>
        </w:numPr>
        <w:spacing w:line="276" w:lineRule="auto"/>
        <w:rPr>
          <w:rFonts w:cstheme="minorHAnsi"/>
          <w:sz w:val="24"/>
          <w:szCs w:val="24"/>
        </w:rPr>
      </w:pPr>
      <w:r w:rsidRPr="00C2518C">
        <w:rPr>
          <w:rFonts w:cstheme="minorHAnsi"/>
          <w:sz w:val="24"/>
          <w:szCs w:val="24"/>
        </w:rPr>
        <w:t>Committed to treating people with respect and</w:t>
      </w:r>
      <w:r>
        <w:rPr>
          <w:rFonts w:cstheme="minorHAnsi"/>
          <w:sz w:val="24"/>
          <w:szCs w:val="24"/>
        </w:rPr>
        <w:t xml:space="preserve"> </w:t>
      </w:r>
      <w:proofErr w:type="gramStart"/>
      <w:r w:rsidRPr="00C2518C">
        <w:rPr>
          <w:rFonts w:cstheme="minorHAnsi"/>
          <w:sz w:val="24"/>
          <w:szCs w:val="24"/>
        </w:rPr>
        <w:t>professionalism</w:t>
      </w:r>
      <w:proofErr w:type="gramEnd"/>
    </w:p>
    <w:p w14:paraId="558E15B5" w14:textId="77777777" w:rsidR="00C2518C" w:rsidRDefault="00C2518C" w:rsidP="00C2518C">
      <w:pPr>
        <w:spacing w:line="276" w:lineRule="auto"/>
        <w:rPr>
          <w:rFonts w:cstheme="minorHAnsi"/>
          <w:sz w:val="24"/>
          <w:szCs w:val="24"/>
        </w:rPr>
      </w:pPr>
    </w:p>
    <w:p w14:paraId="65F635F9" w14:textId="2A2B7B1E" w:rsidR="00C2518C" w:rsidRDefault="00C2518C" w:rsidP="00C2518C">
      <w:pPr>
        <w:pStyle w:val="Heading1"/>
      </w:pPr>
      <w:r>
        <w:t>FINANCIALS</w:t>
      </w:r>
    </w:p>
    <w:tbl>
      <w:tblPr>
        <w:tblW w:w="6049" w:type="dxa"/>
        <w:tblLook w:val="04A0" w:firstRow="1" w:lastRow="0" w:firstColumn="1" w:lastColumn="0" w:noHBand="0" w:noVBand="1"/>
      </w:tblPr>
      <w:tblGrid>
        <w:gridCol w:w="1786"/>
        <w:gridCol w:w="284"/>
        <w:gridCol w:w="2757"/>
        <w:gridCol w:w="1222"/>
      </w:tblGrid>
      <w:tr w:rsidR="00BB1CA9" w:rsidRPr="00BB1CA9" w14:paraId="6F8C46AA" w14:textId="77777777" w:rsidTr="003E5139">
        <w:trPr>
          <w:trHeight w:val="360"/>
        </w:trPr>
        <w:tc>
          <w:tcPr>
            <w:tcW w:w="4827" w:type="dxa"/>
            <w:gridSpan w:val="3"/>
            <w:shd w:val="clear" w:color="auto" w:fill="auto"/>
            <w:noWrap/>
            <w:vAlign w:val="bottom"/>
            <w:hideMark/>
          </w:tcPr>
          <w:p w14:paraId="56BC2BB2" w14:textId="77740FED" w:rsidR="00BB1CA9" w:rsidRPr="00BB1CA9" w:rsidRDefault="00BB1CA9" w:rsidP="00B72A50">
            <w:pPr>
              <w:pStyle w:val="Heading2"/>
              <w:rPr>
                <w:rFonts w:eastAsia="Times New Roman"/>
              </w:rPr>
            </w:pPr>
            <w:r w:rsidRPr="00BB1CA9">
              <w:rPr>
                <w:rFonts w:eastAsia="Times New Roman"/>
              </w:rPr>
              <w:t>Assets</w:t>
            </w:r>
          </w:p>
        </w:tc>
        <w:tc>
          <w:tcPr>
            <w:tcW w:w="1222" w:type="dxa"/>
            <w:shd w:val="clear" w:color="auto" w:fill="auto"/>
            <w:noWrap/>
            <w:vAlign w:val="bottom"/>
            <w:hideMark/>
          </w:tcPr>
          <w:p w14:paraId="0BE51CBD" w14:textId="77777777" w:rsidR="00BB1CA9" w:rsidRPr="00BB1CA9" w:rsidRDefault="00BB1CA9" w:rsidP="00C12DCE">
            <w:pPr>
              <w:spacing w:after="0" w:line="240" w:lineRule="auto"/>
              <w:rPr>
                <w:rFonts w:eastAsia="Times New Roman" w:cstheme="minorHAnsi"/>
                <w:b/>
                <w:bCs/>
                <w:color w:val="000000"/>
                <w:sz w:val="28"/>
                <w:szCs w:val="28"/>
              </w:rPr>
            </w:pPr>
          </w:p>
        </w:tc>
      </w:tr>
      <w:tr w:rsidR="00BB1CA9" w:rsidRPr="00BB1CA9" w14:paraId="797C19A9" w14:textId="77777777" w:rsidTr="003E5139">
        <w:trPr>
          <w:trHeight w:val="285"/>
        </w:trPr>
        <w:tc>
          <w:tcPr>
            <w:tcW w:w="1786" w:type="dxa"/>
            <w:shd w:val="clear" w:color="auto" w:fill="auto"/>
            <w:noWrap/>
            <w:vAlign w:val="bottom"/>
            <w:hideMark/>
          </w:tcPr>
          <w:p w14:paraId="737FD6F3" w14:textId="77777777" w:rsidR="00BB1CA9" w:rsidRPr="00BB1CA9" w:rsidRDefault="00BB1CA9" w:rsidP="00C12DCE">
            <w:pPr>
              <w:spacing w:after="0" w:line="240" w:lineRule="auto"/>
              <w:rPr>
                <w:rFonts w:eastAsia="Times New Roman" w:cstheme="minorHAnsi"/>
                <w:sz w:val="20"/>
                <w:szCs w:val="20"/>
              </w:rPr>
            </w:pPr>
          </w:p>
        </w:tc>
        <w:tc>
          <w:tcPr>
            <w:tcW w:w="284" w:type="dxa"/>
            <w:shd w:val="clear" w:color="auto" w:fill="auto"/>
            <w:noWrap/>
            <w:vAlign w:val="bottom"/>
            <w:hideMark/>
          </w:tcPr>
          <w:p w14:paraId="0A661766" w14:textId="77777777" w:rsidR="00BB1CA9" w:rsidRPr="00BB1CA9" w:rsidRDefault="00BB1CA9" w:rsidP="00C12DCE">
            <w:pPr>
              <w:spacing w:after="0" w:line="240" w:lineRule="auto"/>
              <w:rPr>
                <w:rFonts w:eastAsia="Times New Roman" w:cstheme="minorHAnsi"/>
                <w:sz w:val="20"/>
                <w:szCs w:val="20"/>
              </w:rPr>
            </w:pPr>
          </w:p>
        </w:tc>
        <w:tc>
          <w:tcPr>
            <w:tcW w:w="2757" w:type="dxa"/>
            <w:shd w:val="clear" w:color="auto" w:fill="auto"/>
            <w:noWrap/>
            <w:vAlign w:val="bottom"/>
            <w:hideMark/>
          </w:tcPr>
          <w:p w14:paraId="099C65EC" w14:textId="77777777" w:rsidR="00BB1CA9" w:rsidRPr="00BB1CA9" w:rsidRDefault="00BB1CA9" w:rsidP="00C12DCE">
            <w:pPr>
              <w:spacing w:after="0" w:line="240" w:lineRule="auto"/>
              <w:rPr>
                <w:rFonts w:eastAsia="Times New Roman" w:cstheme="minorHAnsi"/>
                <w:sz w:val="20"/>
                <w:szCs w:val="20"/>
              </w:rPr>
            </w:pPr>
          </w:p>
        </w:tc>
        <w:tc>
          <w:tcPr>
            <w:tcW w:w="1222" w:type="dxa"/>
            <w:shd w:val="clear" w:color="auto" w:fill="auto"/>
            <w:noWrap/>
            <w:vAlign w:val="bottom"/>
            <w:hideMark/>
          </w:tcPr>
          <w:p w14:paraId="4FFEB53F" w14:textId="77777777" w:rsidR="00BB1CA9" w:rsidRPr="00BB1CA9" w:rsidRDefault="00BB1CA9" w:rsidP="00C12DCE">
            <w:pPr>
              <w:spacing w:after="0" w:line="240" w:lineRule="auto"/>
              <w:rPr>
                <w:rFonts w:eastAsia="Times New Roman" w:cstheme="minorHAnsi"/>
                <w:sz w:val="20"/>
                <w:szCs w:val="20"/>
              </w:rPr>
            </w:pPr>
          </w:p>
        </w:tc>
      </w:tr>
      <w:tr w:rsidR="00BB1CA9" w:rsidRPr="00BB1CA9" w14:paraId="3A8804CC" w14:textId="77777777" w:rsidTr="003E5139">
        <w:trPr>
          <w:trHeight w:val="323"/>
        </w:trPr>
        <w:tc>
          <w:tcPr>
            <w:tcW w:w="1786" w:type="dxa"/>
            <w:shd w:val="clear" w:color="auto" w:fill="auto"/>
            <w:noWrap/>
            <w:vAlign w:val="bottom"/>
            <w:hideMark/>
          </w:tcPr>
          <w:p w14:paraId="28F15830" w14:textId="70937F7A" w:rsidR="00BB1CA9" w:rsidRPr="00BB1CA9" w:rsidRDefault="00BB1CA9" w:rsidP="00C12DCE">
            <w:pPr>
              <w:spacing w:after="0" w:line="240" w:lineRule="auto"/>
              <w:rPr>
                <w:rFonts w:eastAsia="Times New Roman" w:cstheme="minorHAnsi"/>
                <w:b/>
                <w:bCs/>
                <w:color w:val="000000"/>
                <w:sz w:val="24"/>
                <w:szCs w:val="24"/>
              </w:rPr>
            </w:pPr>
            <w:r w:rsidRPr="00BB1CA9">
              <w:rPr>
                <w:rFonts w:eastAsia="Times New Roman" w:cstheme="minorHAnsi"/>
                <w:b/>
                <w:bCs/>
                <w:color w:val="000000"/>
                <w:sz w:val="24"/>
                <w:szCs w:val="24"/>
              </w:rPr>
              <w:t>Current Assets</w:t>
            </w:r>
          </w:p>
        </w:tc>
        <w:tc>
          <w:tcPr>
            <w:tcW w:w="284" w:type="dxa"/>
            <w:shd w:val="clear" w:color="auto" w:fill="auto"/>
            <w:noWrap/>
            <w:vAlign w:val="bottom"/>
            <w:hideMark/>
          </w:tcPr>
          <w:p w14:paraId="4DD10393" w14:textId="77777777" w:rsidR="00BB1CA9" w:rsidRPr="00BB1CA9" w:rsidRDefault="00BB1CA9" w:rsidP="00C12DCE">
            <w:pPr>
              <w:spacing w:after="0" w:line="240" w:lineRule="auto"/>
              <w:rPr>
                <w:rFonts w:eastAsia="Times New Roman" w:cstheme="minorHAnsi"/>
                <w:b/>
                <w:bCs/>
                <w:color w:val="000000"/>
                <w:sz w:val="24"/>
                <w:szCs w:val="24"/>
              </w:rPr>
            </w:pPr>
          </w:p>
        </w:tc>
        <w:tc>
          <w:tcPr>
            <w:tcW w:w="2757" w:type="dxa"/>
            <w:shd w:val="clear" w:color="auto" w:fill="auto"/>
            <w:noWrap/>
            <w:vAlign w:val="bottom"/>
            <w:hideMark/>
          </w:tcPr>
          <w:p w14:paraId="66830BF2" w14:textId="77777777" w:rsidR="00BB1CA9" w:rsidRPr="00BB1CA9" w:rsidRDefault="00BB1CA9" w:rsidP="00C12DCE">
            <w:pPr>
              <w:spacing w:after="0" w:line="240" w:lineRule="auto"/>
              <w:rPr>
                <w:rFonts w:eastAsia="Times New Roman" w:cstheme="minorHAnsi"/>
                <w:sz w:val="20"/>
                <w:szCs w:val="20"/>
              </w:rPr>
            </w:pPr>
          </w:p>
        </w:tc>
        <w:tc>
          <w:tcPr>
            <w:tcW w:w="1222" w:type="dxa"/>
            <w:shd w:val="clear" w:color="auto" w:fill="auto"/>
            <w:noWrap/>
            <w:vAlign w:val="bottom"/>
            <w:hideMark/>
          </w:tcPr>
          <w:p w14:paraId="4C6E322F" w14:textId="77777777" w:rsidR="00BB1CA9" w:rsidRPr="00BB1CA9" w:rsidRDefault="00BB1CA9" w:rsidP="00C12DCE">
            <w:pPr>
              <w:spacing w:after="0" w:line="240" w:lineRule="auto"/>
              <w:rPr>
                <w:rFonts w:eastAsia="Times New Roman" w:cstheme="minorHAnsi"/>
                <w:sz w:val="20"/>
                <w:szCs w:val="20"/>
              </w:rPr>
            </w:pPr>
          </w:p>
        </w:tc>
      </w:tr>
      <w:tr w:rsidR="00BB1CA9" w:rsidRPr="00BB1CA9" w14:paraId="24D4D0C6" w14:textId="77777777" w:rsidTr="003E5139">
        <w:trPr>
          <w:trHeight w:val="285"/>
        </w:trPr>
        <w:tc>
          <w:tcPr>
            <w:tcW w:w="1786" w:type="dxa"/>
            <w:shd w:val="clear" w:color="auto" w:fill="auto"/>
            <w:noWrap/>
            <w:vAlign w:val="bottom"/>
            <w:hideMark/>
          </w:tcPr>
          <w:p w14:paraId="57645344" w14:textId="77777777" w:rsidR="00BB1CA9" w:rsidRPr="00BB1CA9" w:rsidRDefault="00BB1CA9" w:rsidP="00BB1CA9">
            <w:pPr>
              <w:spacing w:after="0" w:line="240" w:lineRule="auto"/>
              <w:rPr>
                <w:rFonts w:eastAsia="Times New Roman" w:cstheme="minorHAnsi"/>
                <w:sz w:val="20"/>
                <w:szCs w:val="20"/>
              </w:rPr>
            </w:pPr>
          </w:p>
        </w:tc>
        <w:tc>
          <w:tcPr>
            <w:tcW w:w="3041" w:type="dxa"/>
            <w:gridSpan w:val="2"/>
            <w:shd w:val="clear" w:color="auto" w:fill="auto"/>
            <w:noWrap/>
            <w:hideMark/>
          </w:tcPr>
          <w:p w14:paraId="3EDB4852" w14:textId="6A991C70" w:rsidR="00BB1CA9" w:rsidRPr="00BB1CA9" w:rsidRDefault="00BB1CA9" w:rsidP="00BB1CA9">
            <w:pPr>
              <w:spacing w:after="0" w:line="240" w:lineRule="auto"/>
              <w:rPr>
                <w:rFonts w:eastAsia="Times New Roman" w:cstheme="minorHAnsi"/>
                <w:color w:val="000000"/>
              </w:rPr>
            </w:pPr>
            <w:r w:rsidRPr="00BB1CA9">
              <w:rPr>
                <w:rFonts w:cstheme="minorHAnsi"/>
              </w:rPr>
              <w:t xml:space="preserve">Cash and Cash Equivalents </w:t>
            </w:r>
          </w:p>
        </w:tc>
        <w:tc>
          <w:tcPr>
            <w:tcW w:w="1222" w:type="dxa"/>
            <w:shd w:val="clear" w:color="auto" w:fill="auto"/>
            <w:noWrap/>
            <w:hideMark/>
          </w:tcPr>
          <w:p w14:paraId="7D724BD9" w14:textId="3E1EDD79" w:rsidR="00BB1CA9" w:rsidRPr="00BB1CA9" w:rsidRDefault="00BB1CA9" w:rsidP="00BB1CA9">
            <w:pPr>
              <w:spacing w:after="0" w:line="240" w:lineRule="auto"/>
              <w:jc w:val="right"/>
              <w:rPr>
                <w:rFonts w:eastAsia="Times New Roman" w:cstheme="minorHAnsi"/>
                <w:color w:val="000000"/>
              </w:rPr>
            </w:pPr>
            <w:r w:rsidRPr="00BB1CA9">
              <w:rPr>
                <w:rFonts w:cstheme="minorHAnsi"/>
              </w:rPr>
              <w:t>$492,374</w:t>
            </w:r>
          </w:p>
        </w:tc>
      </w:tr>
      <w:tr w:rsidR="00BB1CA9" w:rsidRPr="00BB1CA9" w14:paraId="14A34DFB" w14:textId="77777777" w:rsidTr="003E5139">
        <w:trPr>
          <w:trHeight w:val="285"/>
        </w:trPr>
        <w:tc>
          <w:tcPr>
            <w:tcW w:w="1786" w:type="dxa"/>
            <w:shd w:val="clear" w:color="auto" w:fill="auto"/>
            <w:noWrap/>
            <w:vAlign w:val="bottom"/>
            <w:hideMark/>
          </w:tcPr>
          <w:p w14:paraId="135A0909" w14:textId="77777777" w:rsidR="00BB1CA9" w:rsidRPr="00BB1CA9" w:rsidRDefault="00BB1CA9" w:rsidP="00BB1CA9">
            <w:pPr>
              <w:spacing w:after="0" w:line="240" w:lineRule="auto"/>
              <w:jc w:val="right"/>
              <w:rPr>
                <w:rFonts w:eastAsia="Times New Roman" w:cstheme="minorHAnsi"/>
                <w:color w:val="000000"/>
              </w:rPr>
            </w:pPr>
          </w:p>
        </w:tc>
        <w:tc>
          <w:tcPr>
            <w:tcW w:w="3041" w:type="dxa"/>
            <w:gridSpan w:val="2"/>
            <w:shd w:val="clear" w:color="auto" w:fill="auto"/>
            <w:noWrap/>
            <w:hideMark/>
          </w:tcPr>
          <w:p w14:paraId="00194E3A" w14:textId="3917CA2C" w:rsidR="00BB1CA9" w:rsidRPr="00BB1CA9" w:rsidRDefault="00BB1CA9" w:rsidP="00BB1CA9">
            <w:pPr>
              <w:spacing w:after="0" w:line="240" w:lineRule="auto"/>
              <w:rPr>
                <w:rFonts w:eastAsia="Times New Roman" w:cstheme="minorHAnsi"/>
                <w:color w:val="000000"/>
              </w:rPr>
            </w:pPr>
            <w:r w:rsidRPr="00BB1CA9">
              <w:rPr>
                <w:rFonts w:cstheme="minorHAnsi"/>
              </w:rPr>
              <w:t xml:space="preserve">Accounts Receivable </w:t>
            </w:r>
          </w:p>
        </w:tc>
        <w:tc>
          <w:tcPr>
            <w:tcW w:w="1222" w:type="dxa"/>
            <w:shd w:val="clear" w:color="auto" w:fill="auto"/>
            <w:noWrap/>
            <w:hideMark/>
          </w:tcPr>
          <w:p w14:paraId="65DAC423" w14:textId="098E62AF" w:rsidR="00BB1CA9" w:rsidRPr="00BB1CA9" w:rsidRDefault="00BB1CA9" w:rsidP="00BB1CA9">
            <w:pPr>
              <w:spacing w:after="0" w:line="240" w:lineRule="auto"/>
              <w:jc w:val="right"/>
              <w:rPr>
                <w:rFonts w:eastAsia="Times New Roman" w:cstheme="minorHAnsi"/>
                <w:color w:val="000000"/>
              </w:rPr>
            </w:pPr>
            <w:r w:rsidRPr="00BB1CA9">
              <w:rPr>
                <w:rFonts w:cstheme="minorHAnsi"/>
              </w:rPr>
              <w:t>$613,057</w:t>
            </w:r>
          </w:p>
        </w:tc>
      </w:tr>
      <w:tr w:rsidR="00BB1CA9" w:rsidRPr="00BB1CA9" w14:paraId="2C63F18B" w14:textId="77777777" w:rsidTr="003E5139">
        <w:trPr>
          <w:trHeight w:val="285"/>
        </w:trPr>
        <w:tc>
          <w:tcPr>
            <w:tcW w:w="1786" w:type="dxa"/>
            <w:shd w:val="clear" w:color="auto" w:fill="auto"/>
            <w:noWrap/>
            <w:vAlign w:val="bottom"/>
            <w:hideMark/>
          </w:tcPr>
          <w:p w14:paraId="57F36070" w14:textId="77777777" w:rsidR="00BB1CA9" w:rsidRPr="00BB1CA9" w:rsidRDefault="00BB1CA9" w:rsidP="00BB1CA9">
            <w:pPr>
              <w:spacing w:after="0" w:line="240" w:lineRule="auto"/>
              <w:jc w:val="right"/>
              <w:rPr>
                <w:rFonts w:eastAsia="Times New Roman" w:cstheme="minorHAnsi"/>
                <w:color w:val="000000"/>
              </w:rPr>
            </w:pPr>
          </w:p>
        </w:tc>
        <w:tc>
          <w:tcPr>
            <w:tcW w:w="3041" w:type="dxa"/>
            <w:gridSpan w:val="2"/>
            <w:shd w:val="clear" w:color="auto" w:fill="auto"/>
            <w:noWrap/>
            <w:hideMark/>
          </w:tcPr>
          <w:p w14:paraId="2EC782C1" w14:textId="087CDC30" w:rsidR="00BB1CA9" w:rsidRPr="00BB1CA9" w:rsidRDefault="00BB1CA9" w:rsidP="00BB1CA9">
            <w:pPr>
              <w:spacing w:after="0" w:line="240" w:lineRule="auto"/>
              <w:rPr>
                <w:rFonts w:eastAsia="Times New Roman" w:cstheme="minorHAnsi"/>
                <w:color w:val="000000"/>
              </w:rPr>
            </w:pPr>
            <w:r w:rsidRPr="00BB1CA9">
              <w:rPr>
                <w:rFonts w:cstheme="minorHAnsi"/>
              </w:rPr>
              <w:t xml:space="preserve">Inventories </w:t>
            </w:r>
          </w:p>
        </w:tc>
        <w:tc>
          <w:tcPr>
            <w:tcW w:w="1222" w:type="dxa"/>
            <w:shd w:val="clear" w:color="auto" w:fill="auto"/>
            <w:noWrap/>
            <w:hideMark/>
          </w:tcPr>
          <w:p w14:paraId="36EFE654" w14:textId="21AD17F5" w:rsidR="00BB1CA9" w:rsidRPr="00BB1CA9" w:rsidRDefault="00BB1CA9" w:rsidP="00BB1CA9">
            <w:pPr>
              <w:spacing w:after="0" w:line="240" w:lineRule="auto"/>
              <w:jc w:val="right"/>
              <w:rPr>
                <w:rFonts w:eastAsia="Times New Roman" w:cstheme="minorHAnsi"/>
                <w:color w:val="000000"/>
              </w:rPr>
            </w:pPr>
            <w:r w:rsidRPr="00BB1CA9">
              <w:rPr>
                <w:rFonts w:cstheme="minorHAnsi"/>
              </w:rPr>
              <w:t xml:space="preserve"> $5,186</w:t>
            </w:r>
          </w:p>
        </w:tc>
      </w:tr>
      <w:tr w:rsidR="00BB1CA9" w:rsidRPr="00BB1CA9" w14:paraId="2CBDB7E5" w14:textId="77777777" w:rsidTr="003E5139">
        <w:trPr>
          <w:trHeight w:val="285"/>
        </w:trPr>
        <w:tc>
          <w:tcPr>
            <w:tcW w:w="1786" w:type="dxa"/>
            <w:shd w:val="clear" w:color="auto" w:fill="auto"/>
            <w:noWrap/>
            <w:vAlign w:val="bottom"/>
            <w:hideMark/>
          </w:tcPr>
          <w:p w14:paraId="113630D9" w14:textId="77777777" w:rsidR="00BB1CA9" w:rsidRPr="00BB1CA9" w:rsidRDefault="00BB1CA9" w:rsidP="00BB1CA9">
            <w:pPr>
              <w:spacing w:after="0" w:line="240" w:lineRule="auto"/>
              <w:jc w:val="right"/>
              <w:rPr>
                <w:rFonts w:eastAsia="Times New Roman" w:cstheme="minorHAnsi"/>
                <w:color w:val="000000"/>
              </w:rPr>
            </w:pPr>
          </w:p>
        </w:tc>
        <w:tc>
          <w:tcPr>
            <w:tcW w:w="3041" w:type="dxa"/>
            <w:gridSpan w:val="2"/>
            <w:shd w:val="clear" w:color="auto" w:fill="auto"/>
            <w:noWrap/>
            <w:hideMark/>
          </w:tcPr>
          <w:p w14:paraId="66FCB605" w14:textId="54FBCDC8" w:rsidR="00BB1CA9" w:rsidRPr="00BB1CA9" w:rsidRDefault="00BB1CA9" w:rsidP="00BB1CA9">
            <w:pPr>
              <w:spacing w:after="0" w:line="240" w:lineRule="auto"/>
              <w:rPr>
                <w:rFonts w:eastAsia="Times New Roman" w:cstheme="minorHAnsi"/>
                <w:color w:val="000000"/>
              </w:rPr>
            </w:pPr>
            <w:r w:rsidRPr="00BB1CA9">
              <w:rPr>
                <w:rFonts w:cstheme="minorHAnsi"/>
              </w:rPr>
              <w:t xml:space="preserve">Prepaid Expenses </w:t>
            </w:r>
          </w:p>
        </w:tc>
        <w:tc>
          <w:tcPr>
            <w:tcW w:w="1222" w:type="dxa"/>
            <w:shd w:val="clear" w:color="auto" w:fill="auto"/>
            <w:noWrap/>
            <w:hideMark/>
          </w:tcPr>
          <w:p w14:paraId="07DFB8B5" w14:textId="7CF13A31" w:rsidR="00BB1CA9" w:rsidRPr="00BB1CA9" w:rsidRDefault="00BB1CA9" w:rsidP="00BB1CA9">
            <w:pPr>
              <w:spacing w:after="0" w:line="240" w:lineRule="auto"/>
              <w:jc w:val="right"/>
              <w:rPr>
                <w:rFonts w:eastAsia="Times New Roman" w:cstheme="minorHAnsi"/>
                <w:color w:val="000000"/>
              </w:rPr>
            </w:pPr>
            <w:r w:rsidRPr="00BB1CA9">
              <w:rPr>
                <w:rFonts w:cstheme="minorHAnsi"/>
              </w:rPr>
              <w:t>$4,774</w:t>
            </w:r>
          </w:p>
        </w:tc>
      </w:tr>
      <w:tr w:rsidR="00BB1CA9" w:rsidRPr="00BB1CA9" w14:paraId="3F248294" w14:textId="77777777" w:rsidTr="003E5139">
        <w:trPr>
          <w:trHeight w:val="285"/>
        </w:trPr>
        <w:tc>
          <w:tcPr>
            <w:tcW w:w="1786" w:type="dxa"/>
            <w:shd w:val="clear" w:color="auto" w:fill="auto"/>
            <w:noWrap/>
            <w:vAlign w:val="bottom"/>
            <w:hideMark/>
          </w:tcPr>
          <w:p w14:paraId="3B48F4D4" w14:textId="77777777" w:rsidR="00BB1CA9" w:rsidRPr="00BB1CA9" w:rsidRDefault="00BB1CA9" w:rsidP="00BB1CA9">
            <w:pPr>
              <w:spacing w:after="0" w:line="240" w:lineRule="auto"/>
              <w:jc w:val="right"/>
              <w:rPr>
                <w:rFonts w:eastAsia="Times New Roman" w:cstheme="minorHAnsi"/>
                <w:color w:val="000000"/>
                <w:u w:val="single"/>
              </w:rPr>
            </w:pPr>
          </w:p>
        </w:tc>
        <w:tc>
          <w:tcPr>
            <w:tcW w:w="284" w:type="dxa"/>
            <w:shd w:val="clear" w:color="auto" w:fill="auto"/>
            <w:noWrap/>
            <w:vAlign w:val="bottom"/>
            <w:hideMark/>
          </w:tcPr>
          <w:p w14:paraId="78E54912" w14:textId="77777777" w:rsidR="00BB1CA9" w:rsidRPr="00BB1CA9" w:rsidRDefault="00BB1CA9" w:rsidP="00BB1CA9">
            <w:pPr>
              <w:spacing w:after="0" w:line="240" w:lineRule="auto"/>
              <w:rPr>
                <w:rFonts w:eastAsia="Times New Roman" w:cstheme="minorHAnsi"/>
                <w:sz w:val="20"/>
                <w:szCs w:val="20"/>
              </w:rPr>
            </w:pPr>
          </w:p>
        </w:tc>
        <w:tc>
          <w:tcPr>
            <w:tcW w:w="2757" w:type="dxa"/>
            <w:shd w:val="clear" w:color="auto" w:fill="auto"/>
            <w:noWrap/>
            <w:hideMark/>
          </w:tcPr>
          <w:p w14:paraId="0F313280" w14:textId="3A26438A" w:rsidR="00BB1CA9" w:rsidRPr="00B72A50" w:rsidRDefault="00BB1CA9" w:rsidP="00BB1CA9">
            <w:pPr>
              <w:spacing w:after="0" w:line="240" w:lineRule="auto"/>
              <w:rPr>
                <w:rFonts w:eastAsia="Times New Roman" w:cstheme="minorHAnsi"/>
                <w:b/>
                <w:bCs/>
                <w:color w:val="000000"/>
              </w:rPr>
            </w:pPr>
            <w:r w:rsidRPr="00B72A50">
              <w:rPr>
                <w:rFonts w:cstheme="minorHAnsi"/>
                <w:b/>
                <w:bCs/>
              </w:rPr>
              <w:t>Total Current Assets</w:t>
            </w:r>
          </w:p>
        </w:tc>
        <w:tc>
          <w:tcPr>
            <w:tcW w:w="1222" w:type="dxa"/>
            <w:shd w:val="clear" w:color="auto" w:fill="auto"/>
            <w:noWrap/>
            <w:hideMark/>
          </w:tcPr>
          <w:p w14:paraId="6D6B0ED2" w14:textId="60359185" w:rsidR="00BB1CA9" w:rsidRPr="00B72A50" w:rsidRDefault="00BB1CA9" w:rsidP="00BB1CA9">
            <w:pPr>
              <w:spacing w:after="0" w:line="240" w:lineRule="auto"/>
              <w:jc w:val="right"/>
              <w:rPr>
                <w:rFonts w:eastAsia="Times New Roman" w:cstheme="minorHAnsi"/>
                <w:b/>
                <w:bCs/>
                <w:color w:val="000000"/>
                <w:u w:val="single"/>
              </w:rPr>
            </w:pPr>
            <w:r w:rsidRPr="00B72A50">
              <w:rPr>
                <w:rFonts w:cstheme="minorHAnsi"/>
                <w:b/>
                <w:bCs/>
              </w:rPr>
              <w:t>$1,115,391</w:t>
            </w:r>
          </w:p>
        </w:tc>
      </w:tr>
      <w:tr w:rsidR="00B72A50" w:rsidRPr="00BB1CA9" w14:paraId="4F3D13C5" w14:textId="77777777" w:rsidTr="003E5139">
        <w:trPr>
          <w:trHeight w:val="285"/>
        </w:trPr>
        <w:tc>
          <w:tcPr>
            <w:tcW w:w="4827" w:type="dxa"/>
            <w:gridSpan w:val="3"/>
            <w:shd w:val="clear" w:color="auto" w:fill="auto"/>
            <w:noWrap/>
            <w:vAlign w:val="bottom"/>
          </w:tcPr>
          <w:p w14:paraId="56BDAEC8" w14:textId="3A1A3984" w:rsidR="00B72A50" w:rsidRPr="00B72A50" w:rsidRDefault="00B72A50" w:rsidP="00B72A50">
            <w:pPr>
              <w:spacing w:after="0" w:line="240" w:lineRule="auto"/>
              <w:rPr>
                <w:rFonts w:eastAsia="Times New Roman" w:cstheme="minorHAnsi"/>
                <w:b/>
                <w:bCs/>
                <w:color w:val="000000"/>
              </w:rPr>
            </w:pPr>
            <w:r w:rsidRPr="00BB1CA9">
              <w:rPr>
                <w:rFonts w:eastAsia="Times New Roman" w:cstheme="minorHAnsi"/>
                <w:b/>
                <w:bCs/>
                <w:color w:val="000000"/>
              </w:rPr>
              <w:t>Deposits</w:t>
            </w:r>
          </w:p>
        </w:tc>
        <w:tc>
          <w:tcPr>
            <w:tcW w:w="1222" w:type="dxa"/>
            <w:shd w:val="clear" w:color="auto" w:fill="auto"/>
            <w:noWrap/>
            <w:vAlign w:val="bottom"/>
          </w:tcPr>
          <w:p w14:paraId="45E7232B" w14:textId="0112EB25" w:rsidR="00B72A50" w:rsidRPr="00B72A50" w:rsidRDefault="00B72A50" w:rsidP="00B72A50">
            <w:pPr>
              <w:spacing w:after="0" w:line="240" w:lineRule="auto"/>
              <w:jc w:val="right"/>
              <w:rPr>
                <w:rFonts w:eastAsia="Times New Roman" w:cstheme="minorHAnsi"/>
                <w:b/>
                <w:bCs/>
                <w:color w:val="000000"/>
              </w:rPr>
            </w:pPr>
          </w:p>
        </w:tc>
      </w:tr>
      <w:tr w:rsidR="00B72A50" w:rsidRPr="00BB1CA9" w14:paraId="2746D77F" w14:textId="77777777" w:rsidTr="003E5139">
        <w:trPr>
          <w:trHeight w:val="285"/>
        </w:trPr>
        <w:tc>
          <w:tcPr>
            <w:tcW w:w="4827" w:type="dxa"/>
            <w:gridSpan w:val="3"/>
            <w:shd w:val="clear" w:color="auto" w:fill="auto"/>
            <w:noWrap/>
            <w:vAlign w:val="bottom"/>
          </w:tcPr>
          <w:p w14:paraId="77E1F119" w14:textId="1B1D5B5E" w:rsidR="00B72A50" w:rsidRDefault="00B72A50" w:rsidP="00B72A50">
            <w:pPr>
              <w:spacing w:after="0" w:line="240" w:lineRule="auto"/>
              <w:rPr>
                <w:rFonts w:eastAsia="Times New Roman" w:cstheme="minorHAnsi"/>
                <w:b/>
                <w:bCs/>
                <w:color w:val="000000"/>
              </w:rPr>
            </w:pPr>
            <w:r>
              <w:rPr>
                <w:rFonts w:eastAsia="Times New Roman" w:cstheme="minorHAnsi"/>
                <w:b/>
                <w:bCs/>
                <w:color w:val="000000"/>
              </w:rPr>
              <w:t>Property and Equipment, Net</w:t>
            </w:r>
          </w:p>
        </w:tc>
        <w:tc>
          <w:tcPr>
            <w:tcW w:w="1222" w:type="dxa"/>
            <w:shd w:val="clear" w:color="auto" w:fill="auto"/>
            <w:noWrap/>
            <w:vAlign w:val="bottom"/>
          </w:tcPr>
          <w:p w14:paraId="31EB346C" w14:textId="5046D387" w:rsidR="00B72A50" w:rsidRPr="00BB1CA9" w:rsidRDefault="00B72A50" w:rsidP="00B72A50">
            <w:pPr>
              <w:spacing w:after="0" w:line="240" w:lineRule="auto"/>
              <w:jc w:val="right"/>
              <w:rPr>
                <w:rFonts w:eastAsia="Times New Roman" w:cstheme="minorHAnsi"/>
                <w:sz w:val="20"/>
                <w:szCs w:val="20"/>
              </w:rPr>
            </w:pPr>
            <w:r w:rsidRPr="00BB1CA9">
              <w:rPr>
                <w:rFonts w:eastAsia="Times New Roman" w:cstheme="minorHAnsi"/>
                <w:sz w:val="20"/>
                <w:szCs w:val="20"/>
              </w:rPr>
              <w:t>$541,398</w:t>
            </w:r>
          </w:p>
        </w:tc>
      </w:tr>
      <w:tr w:rsidR="00B72A50" w:rsidRPr="00BB1CA9" w14:paraId="006B343D" w14:textId="77777777" w:rsidTr="003E5139">
        <w:trPr>
          <w:trHeight w:val="285"/>
        </w:trPr>
        <w:tc>
          <w:tcPr>
            <w:tcW w:w="4827" w:type="dxa"/>
            <w:gridSpan w:val="3"/>
            <w:shd w:val="clear" w:color="auto" w:fill="auto"/>
            <w:noWrap/>
            <w:vAlign w:val="bottom"/>
          </w:tcPr>
          <w:p w14:paraId="5B4806C1" w14:textId="2F8C74AE" w:rsidR="00B72A50" w:rsidRPr="00BB1CA9" w:rsidRDefault="00B72A50" w:rsidP="00B72A50">
            <w:pPr>
              <w:spacing w:after="0" w:line="240" w:lineRule="auto"/>
              <w:rPr>
                <w:rFonts w:eastAsia="Times New Roman" w:cstheme="minorHAnsi"/>
                <w:b/>
                <w:bCs/>
                <w:color w:val="000000"/>
                <w:u w:val="single"/>
              </w:rPr>
            </w:pPr>
            <w:r w:rsidRPr="00BB1CA9">
              <w:rPr>
                <w:rFonts w:eastAsia="Times New Roman" w:cstheme="minorHAnsi"/>
                <w:b/>
                <w:bCs/>
                <w:color w:val="000000"/>
                <w:u w:val="single"/>
              </w:rPr>
              <w:t xml:space="preserve">Total </w:t>
            </w:r>
            <w:r>
              <w:rPr>
                <w:rFonts w:eastAsia="Times New Roman" w:cstheme="minorHAnsi"/>
                <w:b/>
                <w:bCs/>
                <w:color w:val="000000"/>
                <w:u w:val="single"/>
              </w:rPr>
              <w:t>Assets</w:t>
            </w:r>
          </w:p>
        </w:tc>
        <w:tc>
          <w:tcPr>
            <w:tcW w:w="1222" w:type="dxa"/>
            <w:shd w:val="clear" w:color="auto" w:fill="auto"/>
            <w:noWrap/>
            <w:vAlign w:val="bottom"/>
          </w:tcPr>
          <w:p w14:paraId="7538002A" w14:textId="3A65152C" w:rsidR="00B72A50" w:rsidRPr="00BB1CA9" w:rsidRDefault="00B72A50" w:rsidP="00B72A50">
            <w:pPr>
              <w:spacing w:after="0" w:line="240" w:lineRule="auto"/>
              <w:jc w:val="right"/>
              <w:rPr>
                <w:rFonts w:eastAsia="Times New Roman" w:cstheme="minorHAnsi"/>
                <w:b/>
                <w:bCs/>
                <w:color w:val="000000"/>
                <w:u w:val="single"/>
              </w:rPr>
            </w:pPr>
            <w:r w:rsidRPr="00BB1CA9">
              <w:rPr>
                <w:rFonts w:eastAsia="Times New Roman" w:cstheme="minorHAnsi"/>
                <w:b/>
                <w:bCs/>
                <w:color w:val="000000"/>
                <w:u w:val="single"/>
              </w:rPr>
              <w:t>$1,659,782</w:t>
            </w:r>
          </w:p>
        </w:tc>
      </w:tr>
    </w:tbl>
    <w:p w14:paraId="318187C5" w14:textId="77777777" w:rsidR="00C2518C" w:rsidRDefault="00C2518C" w:rsidP="00C2518C"/>
    <w:tbl>
      <w:tblPr>
        <w:tblW w:w="6140" w:type="dxa"/>
        <w:tblLook w:val="04A0" w:firstRow="1" w:lastRow="0" w:firstColumn="1" w:lastColumn="0" w:noHBand="0" w:noVBand="1"/>
      </w:tblPr>
      <w:tblGrid>
        <w:gridCol w:w="1786"/>
        <w:gridCol w:w="222"/>
        <w:gridCol w:w="14"/>
        <w:gridCol w:w="2805"/>
        <w:gridCol w:w="1313"/>
      </w:tblGrid>
      <w:tr w:rsidR="003E5139" w:rsidRPr="00EF33B3" w14:paraId="50162C30" w14:textId="77777777" w:rsidTr="003E5139">
        <w:trPr>
          <w:trHeight w:val="323"/>
        </w:trPr>
        <w:tc>
          <w:tcPr>
            <w:tcW w:w="6140" w:type="dxa"/>
            <w:gridSpan w:val="5"/>
            <w:shd w:val="clear" w:color="auto" w:fill="auto"/>
            <w:noWrap/>
            <w:vAlign w:val="bottom"/>
            <w:hideMark/>
          </w:tcPr>
          <w:p w14:paraId="13160DA5" w14:textId="14C90028" w:rsidR="003E5139" w:rsidRPr="00EF33B3" w:rsidRDefault="003E5139" w:rsidP="003E5139">
            <w:pPr>
              <w:pStyle w:val="Heading2"/>
              <w:rPr>
                <w:rFonts w:ascii="Times New Roman" w:eastAsia="Times New Roman" w:hAnsi="Times New Roman" w:cs="Times New Roman"/>
                <w:sz w:val="20"/>
                <w:szCs w:val="20"/>
              </w:rPr>
            </w:pPr>
            <w:r w:rsidRPr="00EF33B3">
              <w:rPr>
                <w:rFonts w:eastAsia="Times New Roman"/>
              </w:rPr>
              <w:t>Liabilities</w:t>
            </w:r>
            <w:r>
              <w:rPr>
                <w:rFonts w:eastAsia="Times New Roman"/>
              </w:rPr>
              <w:t xml:space="preserve"> and Net Assets</w:t>
            </w:r>
          </w:p>
        </w:tc>
      </w:tr>
      <w:tr w:rsidR="004C49B8" w:rsidRPr="00EF33B3" w14:paraId="75254048" w14:textId="77777777" w:rsidTr="003E5139">
        <w:trPr>
          <w:trHeight w:val="293"/>
        </w:trPr>
        <w:tc>
          <w:tcPr>
            <w:tcW w:w="2008" w:type="dxa"/>
            <w:gridSpan w:val="2"/>
            <w:shd w:val="clear" w:color="auto" w:fill="auto"/>
            <w:noWrap/>
            <w:vAlign w:val="bottom"/>
            <w:hideMark/>
          </w:tcPr>
          <w:p w14:paraId="7DA9FE95" w14:textId="77777777" w:rsidR="004C49B8" w:rsidRPr="00EF33B3" w:rsidRDefault="004C49B8" w:rsidP="00C12DCE">
            <w:pPr>
              <w:spacing w:after="0" w:line="240" w:lineRule="auto"/>
              <w:rPr>
                <w:rFonts w:ascii="Calibri" w:eastAsia="Times New Roman" w:hAnsi="Calibri" w:cs="Calibri"/>
                <w:b/>
                <w:bCs/>
                <w:color w:val="000000"/>
              </w:rPr>
            </w:pPr>
            <w:r w:rsidRPr="00EF33B3">
              <w:rPr>
                <w:rFonts w:ascii="Calibri" w:eastAsia="Times New Roman" w:hAnsi="Calibri" w:cs="Calibri"/>
                <w:b/>
                <w:bCs/>
                <w:color w:val="000000"/>
              </w:rPr>
              <w:t>Current Liabilities</w:t>
            </w:r>
          </w:p>
        </w:tc>
        <w:tc>
          <w:tcPr>
            <w:tcW w:w="2819" w:type="dxa"/>
            <w:gridSpan w:val="2"/>
            <w:shd w:val="clear" w:color="auto" w:fill="auto"/>
            <w:noWrap/>
            <w:vAlign w:val="bottom"/>
            <w:hideMark/>
          </w:tcPr>
          <w:p w14:paraId="7D988F77" w14:textId="77777777" w:rsidR="004C49B8" w:rsidRPr="00EF33B3" w:rsidRDefault="004C49B8" w:rsidP="00C12DCE">
            <w:pPr>
              <w:spacing w:after="0" w:line="240" w:lineRule="auto"/>
              <w:rPr>
                <w:rFonts w:ascii="Calibri" w:eastAsia="Times New Roman" w:hAnsi="Calibri" w:cs="Calibri"/>
                <w:b/>
                <w:bCs/>
                <w:color w:val="000000"/>
              </w:rPr>
            </w:pPr>
          </w:p>
        </w:tc>
        <w:tc>
          <w:tcPr>
            <w:tcW w:w="1313" w:type="dxa"/>
            <w:shd w:val="clear" w:color="auto" w:fill="auto"/>
            <w:noWrap/>
            <w:vAlign w:val="bottom"/>
            <w:hideMark/>
          </w:tcPr>
          <w:p w14:paraId="60C4B374" w14:textId="77777777" w:rsidR="004C49B8" w:rsidRPr="00EF33B3" w:rsidRDefault="004C49B8" w:rsidP="00C12DCE">
            <w:pPr>
              <w:spacing w:after="0" w:line="240" w:lineRule="auto"/>
              <w:rPr>
                <w:rFonts w:ascii="Times New Roman" w:eastAsia="Times New Roman" w:hAnsi="Times New Roman" w:cs="Times New Roman"/>
                <w:sz w:val="20"/>
                <w:szCs w:val="20"/>
              </w:rPr>
            </w:pPr>
          </w:p>
        </w:tc>
      </w:tr>
      <w:tr w:rsidR="004C49B8" w:rsidRPr="00EF33B3" w14:paraId="1481851E" w14:textId="77777777" w:rsidTr="003E5139">
        <w:trPr>
          <w:trHeight w:val="285"/>
        </w:trPr>
        <w:tc>
          <w:tcPr>
            <w:tcW w:w="1786" w:type="dxa"/>
            <w:shd w:val="clear" w:color="auto" w:fill="auto"/>
            <w:noWrap/>
            <w:vAlign w:val="bottom"/>
            <w:hideMark/>
          </w:tcPr>
          <w:p w14:paraId="311FED83" w14:textId="77777777" w:rsidR="004C49B8" w:rsidRPr="00EF33B3" w:rsidRDefault="004C49B8" w:rsidP="004C49B8">
            <w:pPr>
              <w:spacing w:after="0" w:line="240" w:lineRule="auto"/>
              <w:rPr>
                <w:rFonts w:ascii="Times New Roman" w:eastAsia="Times New Roman" w:hAnsi="Times New Roman" w:cs="Times New Roman"/>
                <w:sz w:val="20"/>
                <w:szCs w:val="20"/>
              </w:rPr>
            </w:pPr>
          </w:p>
        </w:tc>
        <w:tc>
          <w:tcPr>
            <w:tcW w:w="3041" w:type="dxa"/>
            <w:gridSpan w:val="3"/>
            <w:shd w:val="clear" w:color="auto" w:fill="auto"/>
            <w:noWrap/>
            <w:hideMark/>
          </w:tcPr>
          <w:p w14:paraId="30E78F09" w14:textId="0BDA91FF" w:rsidR="004C49B8" w:rsidRPr="00EF33B3" w:rsidRDefault="004C49B8" w:rsidP="004C49B8">
            <w:pPr>
              <w:spacing w:after="0" w:line="240" w:lineRule="auto"/>
              <w:rPr>
                <w:rFonts w:ascii="Calibri" w:eastAsia="Times New Roman" w:hAnsi="Calibri" w:cs="Calibri"/>
                <w:color w:val="000000"/>
              </w:rPr>
            </w:pPr>
            <w:r w:rsidRPr="00154881">
              <w:t>Accounts payable</w:t>
            </w:r>
            <w:r>
              <w:t xml:space="preserve"> </w:t>
            </w:r>
          </w:p>
        </w:tc>
        <w:tc>
          <w:tcPr>
            <w:tcW w:w="1313" w:type="dxa"/>
            <w:shd w:val="clear" w:color="auto" w:fill="auto"/>
            <w:noWrap/>
            <w:hideMark/>
          </w:tcPr>
          <w:p w14:paraId="3E671AF2" w14:textId="66B2BCAB" w:rsidR="004C49B8" w:rsidRPr="00EF33B3" w:rsidRDefault="004C49B8" w:rsidP="004C49B8">
            <w:pPr>
              <w:spacing w:after="0" w:line="240" w:lineRule="auto"/>
              <w:jc w:val="right"/>
              <w:rPr>
                <w:rFonts w:ascii="Calibri" w:eastAsia="Times New Roman" w:hAnsi="Calibri" w:cs="Calibri"/>
                <w:color w:val="000000"/>
              </w:rPr>
            </w:pPr>
            <w:r w:rsidRPr="00154881">
              <w:t>$9,699</w:t>
            </w:r>
          </w:p>
        </w:tc>
      </w:tr>
      <w:tr w:rsidR="004C49B8" w:rsidRPr="00EF33B3" w14:paraId="4259DC04" w14:textId="77777777" w:rsidTr="003E5139">
        <w:trPr>
          <w:trHeight w:val="285"/>
        </w:trPr>
        <w:tc>
          <w:tcPr>
            <w:tcW w:w="1786" w:type="dxa"/>
            <w:shd w:val="clear" w:color="auto" w:fill="auto"/>
            <w:noWrap/>
            <w:vAlign w:val="bottom"/>
            <w:hideMark/>
          </w:tcPr>
          <w:p w14:paraId="47DC8326" w14:textId="77777777" w:rsidR="004C49B8" w:rsidRPr="00EF33B3" w:rsidRDefault="004C49B8" w:rsidP="004C49B8">
            <w:pPr>
              <w:spacing w:after="0" w:line="240" w:lineRule="auto"/>
              <w:jc w:val="right"/>
              <w:rPr>
                <w:rFonts w:ascii="Calibri" w:eastAsia="Times New Roman" w:hAnsi="Calibri" w:cs="Calibri"/>
                <w:color w:val="000000"/>
              </w:rPr>
            </w:pPr>
          </w:p>
        </w:tc>
        <w:tc>
          <w:tcPr>
            <w:tcW w:w="3041" w:type="dxa"/>
            <w:gridSpan w:val="3"/>
            <w:shd w:val="clear" w:color="auto" w:fill="auto"/>
            <w:noWrap/>
            <w:hideMark/>
          </w:tcPr>
          <w:p w14:paraId="71A02BEF" w14:textId="0E6D848D" w:rsidR="004C49B8" w:rsidRPr="00EF33B3" w:rsidRDefault="004C49B8" w:rsidP="004C49B8">
            <w:pPr>
              <w:spacing w:after="0" w:line="240" w:lineRule="auto"/>
              <w:rPr>
                <w:rFonts w:ascii="Calibri" w:eastAsia="Times New Roman" w:hAnsi="Calibri" w:cs="Calibri"/>
                <w:color w:val="000000"/>
              </w:rPr>
            </w:pPr>
            <w:r w:rsidRPr="00154881">
              <w:t>Accrued payroll liabilities</w:t>
            </w:r>
          </w:p>
        </w:tc>
        <w:tc>
          <w:tcPr>
            <w:tcW w:w="1313" w:type="dxa"/>
            <w:shd w:val="clear" w:color="auto" w:fill="auto"/>
            <w:noWrap/>
            <w:hideMark/>
          </w:tcPr>
          <w:p w14:paraId="28C25594" w14:textId="29AD266C" w:rsidR="004C49B8" w:rsidRPr="00EF33B3" w:rsidRDefault="004C49B8" w:rsidP="004C49B8">
            <w:pPr>
              <w:spacing w:after="0" w:line="240" w:lineRule="auto"/>
              <w:jc w:val="right"/>
              <w:rPr>
                <w:rFonts w:ascii="Calibri" w:eastAsia="Times New Roman" w:hAnsi="Calibri" w:cs="Calibri"/>
                <w:color w:val="000000"/>
              </w:rPr>
            </w:pPr>
            <w:r w:rsidRPr="00154881">
              <w:t>$25,381</w:t>
            </w:r>
          </w:p>
        </w:tc>
      </w:tr>
      <w:tr w:rsidR="004C49B8" w:rsidRPr="00EF33B3" w14:paraId="07A43C41" w14:textId="77777777" w:rsidTr="003E5139">
        <w:trPr>
          <w:trHeight w:val="285"/>
        </w:trPr>
        <w:tc>
          <w:tcPr>
            <w:tcW w:w="1786" w:type="dxa"/>
            <w:shd w:val="clear" w:color="auto" w:fill="auto"/>
            <w:noWrap/>
            <w:vAlign w:val="bottom"/>
            <w:hideMark/>
          </w:tcPr>
          <w:p w14:paraId="0C5A69B6" w14:textId="77777777" w:rsidR="004C49B8" w:rsidRPr="00EF33B3" w:rsidRDefault="004C49B8" w:rsidP="004C49B8">
            <w:pPr>
              <w:spacing w:after="0" w:line="240" w:lineRule="auto"/>
              <w:jc w:val="right"/>
              <w:rPr>
                <w:rFonts w:ascii="Calibri" w:eastAsia="Times New Roman" w:hAnsi="Calibri" w:cs="Calibri"/>
                <w:color w:val="000000"/>
              </w:rPr>
            </w:pPr>
          </w:p>
        </w:tc>
        <w:tc>
          <w:tcPr>
            <w:tcW w:w="3041" w:type="dxa"/>
            <w:gridSpan w:val="3"/>
            <w:shd w:val="clear" w:color="auto" w:fill="auto"/>
            <w:noWrap/>
            <w:hideMark/>
          </w:tcPr>
          <w:p w14:paraId="03961FF2" w14:textId="274CBB1E" w:rsidR="004C49B8" w:rsidRPr="00EF33B3" w:rsidRDefault="004C49B8" w:rsidP="004C49B8">
            <w:pPr>
              <w:spacing w:after="0" w:line="240" w:lineRule="auto"/>
              <w:rPr>
                <w:rFonts w:ascii="Calibri" w:eastAsia="Times New Roman" w:hAnsi="Calibri" w:cs="Calibri"/>
                <w:color w:val="000000"/>
              </w:rPr>
            </w:pPr>
            <w:r w:rsidRPr="00154881">
              <w:t xml:space="preserve">Accrued vacation liabilities </w:t>
            </w:r>
          </w:p>
        </w:tc>
        <w:tc>
          <w:tcPr>
            <w:tcW w:w="1313" w:type="dxa"/>
            <w:shd w:val="clear" w:color="auto" w:fill="auto"/>
            <w:noWrap/>
            <w:hideMark/>
          </w:tcPr>
          <w:p w14:paraId="31543C90" w14:textId="06BA9308" w:rsidR="004C49B8" w:rsidRPr="00EF33B3" w:rsidRDefault="004C49B8" w:rsidP="004C49B8">
            <w:pPr>
              <w:spacing w:after="0" w:line="240" w:lineRule="auto"/>
              <w:jc w:val="right"/>
              <w:rPr>
                <w:rFonts w:ascii="Calibri" w:eastAsia="Times New Roman" w:hAnsi="Calibri" w:cs="Calibri"/>
                <w:color w:val="000000"/>
              </w:rPr>
            </w:pPr>
            <w:r w:rsidRPr="00154881">
              <w:t>$31,879</w:t>
            </w:r>
          </w:p>
        </w:tc>
      </w:tr>
      <w:tr w:rsidR="004C49B8" w:rsidRPr="00EF33B3" w14:paraId="2AC507DF" w14:textId="77777777" w:rsidTr="003E5139">
        <w:trPr>
          <w:trHeight w:val="285"/>
        </w:trPr>
        <w:tc>
          <w:tcPr>
            <w:tcW w:w="1786" w:type="dxa"/>
            <w:shd w:val="clear" w:color="auto" w:fill="auto"/>
            <w:noWrap/>
            <w:vAlign w:val="bottom"/>
            <w:hideMark/>
          </w:tcPr>
          <w:p w14:paraId="42A83838" w14:textId="77777777" w:rsidR="004C49B8" w:rsidRPr="00EF33B3" w:rsidRDefault="004C49B8" w:rsidP="004C49B8">
            <w:pPr>
              <w:spacing w:after="0" w:line="240" w:lineRule="auto"/>
              <w:jc w:val="right"/>
              <w:rPr>
                <w:rFonts w:ascii="Calibri" w:eastAsia="Times New Roman" w:hAnsi="Calibri" w:cs="Calibri"/>
                <w:color w:val="000000"/>
              </w:rPr>
            </w:pPr>
          </w:p>
        </w:tc>
        <w:tc>
          <w:tcPr>
            <w:tcW w:w="3041" w:type="dxa"/>
            <w:gridSpan w:val="3"/>
            <w:shd w:val="clear" w:color="auto" w:fill="auto"/>
            <w:noWrap/>
            <w:hideMark/>
          </w:tcPr>
          <w:p w14:paraId="4A81956F" w14:textId="3139D254" w:rsidR="004C49B8" w:rsidRPr="00EF33B3" w:rsidRDefault="004C49B8" w:rsidP="004C49B8">
            <w:pPr>
              <w:spacing w:after="0" w:line="240" w:lineRule="auto"/>
              <w:rPr>
                <w:rFonts w:ascii="Calibri" w:eastAsia="Times New Roman" w:hAnsi="Calibri" w:cs="Calibri"/>
                <w:color w:val="000000"/>
              </w:rPr>
            </w:pPr>
            <w:r w:rsidRPr="00154881">
              <w:t xml:space="preserve">Sales Tax Payable </w:t>
            </w:r>
          </w:p>
        </w:tc>
        <w:tc>
          <w:tcPr>
            <w:tcW w:w="1313" w:type="dxa"/>
            <w:shd w:val="clear" w:color="auto" w:fill="auto"/>
            <w:noWrap/>
            <w:hideMark/>
          </w:tcPr>
          <w:p w14:paraId="684E9C0A" w14:textId="3E3A08CD" w:rsidR="004C49B8" w:rsidRPr="00EF33B3" w:rsidRDefault="004C49B8" w:rsidP="004C49B8">
            <w:pPr>
              <w:spacing w:after="0" w:line="240" w:lineRule="auto"/>
              <w:jc w:val="right"/>
              <w:rPr>
                <w:rFonts w:ascii="Calibri" w:eastAsia="Times New Roman" w:hAnsi="Calibri" w:cs="Calibri"/>
                <w:color w:val="000000"/>
              </w:rPr>
            </w:pPr>
            <w:r w:rsidRPr="00154881">
              <w:t>$2,429</w:t>
            </w:r>
          </w:p>
        </w:tc>
      </w:tr>
      <w:tr w:rsidR="004C49B8" w:rsidRPr="00EF33B3" w14:paraId="681C614A" w14:textId="77777777" w:rsidTr="003E5139">
        <w:trPr>
          <w:trHeight w:val="285"/>
        </w:trPr>
        <w:tc>
          <w:tcPr>
            <w:tcW w:w="1786" w:type="dxa"/>
            <w:shd w:val="clear" w:color="auto" w:fill="auto"/>
            <w:noWrap/>
            <w:vAlign w:val="bottom"/>
            <w:hideMark/>
          </w:tcPr>
          <w:p w14:paraId="63CBC07D" w14:textId="77777777" w:rsidR="004C49B8" w:rsidRPr="00EF33B3" w:rsidRDefault="004C49B8" w:rsidP="004C49B8">
            <w:pPr>
              <w:spacing w:after="0" w:line="240" w:lineRule="auto"/>
              <w:jc w:val="right"/>
              <w:rPr>
                <w:rFonts w:ascii="Calibri" w:eastAsia="Times New Roman" w:hAnsi="Calibri" w:cs="Calibri"/>
                <w:color w:val="000000"/>
              </w:rPr>
            </w:pPr>
          </w:p>
        </w:tc>
        <w:tc>
          <w:tcPr>
            <w:tcW w:w="3041" w:type="dxa"/>
            <w:gridSpan w:val="3"/>
            <w:shd w:val="clear" w:color="auto" w:fill="auto"/>
            <w:noWrap/>
            <w:hideMark/>
          </w:tcPr>
          <w:p w14:paraId="1AA46A62" w14:textId="1B61F423" w:rsidR="004C49B8" w:rsidRPr="00EF33B3" w:rsidRDefault="004C49B8" w:rsidP="004C49B8">
            <w:pPr>
              <w:spacing w:after="0" w:line="240" w:lineRule="auto"/>
              <w:rPr>
                <w:rFonts w:ascii="Calibri" w:eastAsia="Times New Roman" w:hAnsi="Calibri" w:cs="Calibri"/>
                <w:color w:val="000000"/>
              </w:rPr>
            </w:pPr>
            <w:r w:rsidRPr="00154881">
              <w:t xml:space="preserve">Unearned revenue </w:t>
            </w:r>
          </w:p>
        </w:tc>
        <w:tc>
          <w:tcPr>
            <w:tcW w:w="1313" w:type="dxa"/>
            <w:shd w:val="clear" w:color="auto" w:fill="auto"/>
            <w:noWrap/>
            <w:hideMark/>
          </w:tcPr>
          <w:p w14:paraId="3091E574" w14:textId="782720BF" w:rsidR="004C49B8" w:rsidRPr="00EF33B3" w:rsidRDefault="004C49B8" w:rsidP="004C49B8">
            <w:pPr>
              <w:spacing w:after="0" w:line="240" w:lineRule="auto"/>
              <w:jc w:val="right"/>
              <w:rPr>
                <w:rFonts w:ascii="Calibri" w:eastAsia="Times New Roman" w:hAnsi="Calibri" w:cs="Calibri"/>
                <w:color w:val="000000"/>
              </w:rPr>
            </w:pPr>
            <w:r w:rsidRPr="00154881">
              <w:t>$17,500</w:t>
            </w:r>
          </w:p>
        </w:tc>
      </w:tr>
      <w:tr w:rsidR="004C49B8" w:rsidRPr="00EF33B3" w14:paraId="2A3F070E" w14:textId="77777777" w:rsidTr="003E5139">
        <w:trPr>
          <w:trHeight w:val="285"/>
        </w:trPr>
        <w:tc>
          <w:tcPr>
            <w:tcW w:w="1786" w:type="dxa"/>
            <w:shd w:val="clear" w:color="auto" w:fill="auto"/>
            <w:noWrap/>
            <w:vAlign w:val="bottom"/>
            <w:hideMark/>
          </w:tcPr>
          <w:p w14:paraId="23CD3F08" w14:textId="77777777" w:rsidR="004C49B8" w:rsidRPr="00EF33B3" w:rsidRDefault="004C49B8" w:rsidP="004C49B8">
            <w:pPr>
              <w:spacing w:after="0" w:line="240" w:lineRule="auto"/>
              <w:jc w:val="right"/>
              <w:rPr>
                <w:rFonts w:ascii="Calibri" w:eastAsia="Times New Roman" w:hAnsi="Calibri" w:cs="Calibri"/>
                <w:color w:val="000000"/>
              </w:rPr>
            </w:pPr>
          </w:p>
        </w:tc>
        <w:tc>
          <w:tcPr>
            <w:tcW w:w="3041" w:type="dxa"/>
            <w:gridSpan w:val="3"/>
            <w:shd w:val="clear" w:color="auto" w:fill="auto"/>
            <w:noWrap/>
            <w:hideMark/>
          </w:tcPr>
          <w:p w14:paraId="13F7E602" w14:textId="3CC4BD2D" w:rsidR="004C49B8" w:rsidRPr="00EF33B3" w:rsidRDefault="004C49B8" w:rsidP="004C49B8">
            <w:pPr>
              <w:spacing w:after="0" w:line="240" w:lineRule="auto"/>
              <w:rPr>
                <w:rFonts w:ascii="Calibri" w:eastAsia="Times New Roman" w:hAnsi="Calibri" w:cs="Calibri"/>
                <w:color w:val="000000"/>
              </w:rPr>
            </w:pPr>
            <w:r w:rsidRPr="00154881">
              <w:t xml:space="preserve">Other liabilities </w:t>
            </w:r>
          </w:p>
        </w:tc>
        <w:tc>
          <w:tcPr>
            <w:tcW w:w="1313" w:type="dxa"/>
            <w:shd w:val="clear" w:color="auto" w:fill="auto"/>
            <w:noWrap/>
            <w:hideMark/>
          </w:tcPr>
          <w:p w14:paraId="283F94DF" w14:textId="52FFFD65" w:rsidR="004C49B8" w:rsidRPr="00EF33B3" w:rsidRDefault="004C49B8" w:rsidP="004C49B8">
            <w:pPr>
              <w:spacing w:after="0" w:line="240" w:lineRule="auto"/>
              <w:jc w:val="right"/>
              <w:rPr>
                <w:rFonts w:ascii="Calibri" w:eastAsia="Times New Roman" w:hAnsi="Calibri" w:cs="Calibri"/>
                <w:color w:val="000000"/>
                <w:u w:val="single"/>
              </w:rPr>
            </w:pPr>
            <w:r w:rsidRPr="00154881">
              <w:t>$129</w:t>
            </w:r>
          </w:p>
        </w:tc>
      </w:tr>
      <w:tr w:rsidR="004C49B8" w:rsidRPr="00EF33B3" w14:paraId="628EA809" w14:textId="77777777" w:rsidTr="003E5139">
        <w:trPr>
          <w:trHeight w:val="285"/>
        </w:trPr>
        <w:tc>
          <w:tcPr>
            <w:tcW w:w="1786" w:type="dxa"/>
            <w:shd w:val="clear" w:color="auto" w:fill="auto"/>
            <w:noWrap/>
            <w:vAlign w:val="bottom"/>
          </w:tcPr>
          <w:p w14:paraId="7C229BF7" w14:textId="77777777" w:rsidR="004C49B8" w:rsidRPr="00EF33B3" w:rsidRDefault="004C49B8" w:rsidP="004C49B8">
            <w:pPr>
              <w:spacing w:after="0" w:line="240" w:lineRule="auto"/>
              <w:jc w:val="right"/>
              <w:rPr>
                <w:rFonts w:ascii="Calibri" w:eastAsia="Times New Roman" w:hAnsi="Calibri" w:cs="Calibri"/>
                <w:color w:val="000000"/>
              </w:rPr>
            </w:pPr>
          </w:p>
        </w:tc>
        <w:tc>
          <w:tcPr>
            <w:tcW w:w="3041" w:type="dxa"/>
            <w:gridSpan w:val="3"/>
            <w:shd w:val="clear" w:color="auto" w:fill="auto"/>
            <w:noWrap/>
          </w:tcPr>
          <w:p w14:paraId="56C6479E" w14:textId="10A0368C" w:rsidR="004C49B8" w:rsidRPr="00154881" w:rsidRDefault="004C49B8" w:rsidP="004C49B8">
            <w:pPr>
              <w:spacing w:after="0" w:line="240" w:lineRule="auto"/>
            </w:pPr>
            <w:r>
              <w:t xml:space="preserve">Note </w:t>
            </w:r>
            <w:r w:rsidRPr="00154881">
              <w:t>payable, current portion</w:t>
            </w:r>
          </w:p>
        </w:tc>
        <w:tc>
          <w:tcPr>
            <w:tcW w:w="1313" w:type="dxa"/>
            <w:shd w:val="clear" w:color="auto" w:fill="auto"/>
            <w:noWrap/>
          </w:tcPr>
          <w:p w14:paraId="0FB66007" w14:textId="432F6BB8" w:rsidR="004C49B8" w:rsidRPr="00154881" w:rsidRDefault="004C49B8" w:rsidP="004C49B8">
            <w:pPr>
              <w:spacing w:after="0" w:line="240" w:lineRule="auto"/>
              <w:jc w:val="right"/>
            </w:pPr>
            <w:r w:rsidRPr="00154881">
              <w:t>$10,481</w:t>
            </w:r>
          </w:p>
        </w:tc>
      </w:tr>
      <w:tr w:rsidR="004C49B8" w:rsidRPr="00EF33B3" w14:paraId="58CCF912" w14:textId="77777777" w:rsidTr="003E5139">
        <w:trPr>
          <w:trHeight w:val="285"/>
        </w:trPr>
        <w:tc>
          <w:tcPr>
            <w:tcW w:w="1786" w:type="dxa"/>
            <w:shd w:val="clear" w:color="auto" w:fill="auto"/>
            <w:noWrap/>
            <w:vAlign w:val="bottom"/>
            <w:hideMark/>
          </w:tcPr>
          <w:p w14:paraId="4EFE67F8" w14:textId="77777777" w:rsidR="004C49B8" w:rsidRPr="00EF33B3" w:rsidRDefault="004C49B8" w:rsidP="004C49B8">
            <w:pPr>
              <w:spacing w:after="0" w:line="240" w:lineRule="auto"/>
              <w:jc w:val="right"/>
              <w:rPr>
                <w:rFonts w:ascii="Calibri" w:eastAsia="Times New Roman" w:hAnsi="Calibri" w:cs="Calibri"/>
                <w:color w:val="000000"/>
                <w:u w:val="single"/>
              </w:rPr>
            </w:pPr>
          </w:p>
        </w:tc>
        <w:tc>
          <w:tcPr>
            <w:tcW w:w="222" w:type="dxa"/>
            <w:shd w:val="clear" w:color="auto" w:fill="auto"/>
            <w:noWrap/>
            <w:hideMark/>
          </w:tcPr>
          <w:p w14:paraId="10E784AA" w14:textId="5C1206A7" w:rsidR="004C49B8" w:rsidRPr="00EF33B3" w:rsidRDefault="004C49B8" w:rsidP="004C49B8">
            <w:pPr>
              <w:spacing w:after="0" w:line="240" w:lineRule="auto"/>
              <w:rPr>
                <w:rFonts w:ascii="Times New Roman" w:eastAsia="Times New Roman" w:hAnsi="Times New Roman" w:cs="Times New Roman"/>
                <w:sz w:val="20"/>
                <w:szCs w:val="20"/>
              </w:rPr>
            </w:pPr>
          </w:p>
        </w:tc>
        <w:tc>
          <w:tcPr>
            <w:tcW w:w="2819" w:type="dxa"/>
            <w:gridSpan w:val="2"/>
            <w:shd w:val="clear" w:color="auto" w:fill="auto"/>
            <w:noWrap/>
            <w:hideMark/>
          </w:tcPr>
          <w:p w14:paraId="1CD932FE" w14:textId="0FFC8983" w:rsidR="004C49B8" w:rsidRPr="00EF33B3" w:rsidRDefault="004C49B8" w:rsidP="004C49B8">
            <w:pPr>
              <w:spacing w:after="0" w:line="240" w:lineRule="auto"/>
              <w:rPr>
                <w:rFonts w:ascii="Calibri" w:eastAsia="Times New Roman" w:hAnsi="Calibri" w:cs="Calibri"/>
                <w:color w:val="000000"/>
              </w:rPr>
            </w:pPr>
            <w:r>
              <w:rPr>
                <w:rFonts w:ascii="Calibri" w:eastAsia="Times New Roman" w:hAnsi="Calibri" w:cs="Calibri"/>
                <w:b/>
                <w:bCs/>
                <w:color w:val="000000"/>
              </w:rPr>
              <w:t>Total Current Liabilities</w:t>
            </w:r>
          </w:p>
        </w:tc>
        <w:tc>
          <w:tcPr>
            <w:tcW w:w="1313" w:type="dxa"/>
            <w:shd w:val="clear" w:color="auto" w:fill="auto"/>
            <w:noWrap/>
            <w:hideMark/>
          </w:tcPr>
          <w:p w14:paraId="53860DD1" w14:textId="66342A40" w:rsidR="004C49B8" w:rsidRPr="00EF33B3" w:rsidRDefault="004C49B8" w:rsidP="004C49B8">
            <w:pPr>
              <w:spacing w:after="0" w:line="240" w:lineRule="auto"/>
              <w:jc w:val="right"/>
              <w:rPr>
                <w:rFonts w:ascii="Calibri" w:eastAsia="Times New Roman" w:hAnsi="Calibri" w:cs="Calibri"/>
                <w:color w:val="000000"/>
                <w:u w:val="single"/>
              </w:rPr>
            </w:pPr>
            <w:r w:rsidRPr="00C74265">
              <w:rPr>
                <w:rFonts w:eastAsia="Times New Roman" w:cstheme="minorHAnsi"/>
                <w:b/>
                <w:bCs/>
                <w:sz w:val="20"/>
                <w:szCs w:val="20"/>
              </w:rPr>
              <w:t>$97,498</w:t>
            </w:r>
          </w:p>
        </w:tc>
      </w:tr>
      <w:tr w:rsidR="003E5139" w:rsidRPr="00EF33B3" w14:paraId="6E69EBB5" w14:textId="77777777" w:rsidTr="003E5139">
        <w:trPr>
          <w:trHeight w:val="285"/>
        </w:trPr>
        <w:tc>
          <w:tcPr>
            <w:tcW w:w="4827" w:type="dxa"/>
            <w:gridSpan w:val="4"/>
            <w:shd w:val="clear" w:color="auto" w:fill="auto"/>
            <w:noWrap/>
            <w:vAlign w:val="bottom"/>
            <w:hideMark/>
          </w:tcPr>
          <w:p w14:paraId="125EF723" w14:textId="575194E2" w:rsidR="003E5139" w:rsidRPr="003E5139" w:rsidRDefault="003E5139" w:rsidP="004C49B8">
            <w:pPr>
              <w:spacing w:after="0" w:line="240" w:lineRule="auto"/>
              <w:rPr>
                <w:rFonts w:ascii="Calibri" w:eastAsia="Times New Roman" w:hAnsi="Calibri" w:cs="Calibri"/>
                <w:b/>
                <w:bCs/>
                <w:color w:val="000000"/>
              </w:rPr>
            </w:pPr>
            <w:r w:rsidRPr="003E5139">
              <w:rPr>
                <w:rFonts w:ascii="Calibri" w:eastAsia="Times New Roman" w:hAnsi="Calibri" w:cs="Calibri"/>
                <w:b/>
                <w:bCs/>
                <w:color w:val="000000"/>
              </w:rPr>
              <w:t>Long-term liabilities</w:t>
            </w:r>
          </w:p>
        </w:tc>
        <w:tc>
          <w:tcPr>
            <w:tcW w:w="1313" w:type="dxa"/>
            <w:shd w:val="clear" w:color="auto" w:fill="auto"/>
            <w:noWrap/>
            <w:vAlign w:val="bottom"/>
            <w:hideMark/>
          </w:tcPr>
          <w:p w14:paraId="603BBA60" w14:textId="77777777" w:rsidR="003E5139" w:rsidRPr="00EF33B3" w:rsidRDefault="003E5139" w:rsidP="004C49B8">
            <w:pPr>
              <w:spacing w:after="0" w:line="240" w:lineRule="auto"/>
              <w:rPr>
                <w:rFonts w:ascii="Times New Roman" w:eastAsia="Times New Roman" w:hAnsi="Times New Roman" w:cs="Times New Roman"/>
                <w:sz w:val="20"/>
                <w:szCs w:val="20"/>
              </w:rPr>
            </w:pPr>
          </w:p>
        </w:tc>
      </w:tr>
      <w:tr w:rsidR="004C49B8" w:rsidRPr="00EF33B3" w14:paraId="24B090AA" w14:textId="77777777" w:rsidTr="003E5139">
        <w:trPr>
          <w:trHeight w:val="285"/>
        </w:trPr>
        <w:tc>
          <w:tcPr>
            <w:tcW w:w="1786" w:type="dxa"/>
            <w:shd w:val="clear" w:color="auto" w:fill="auto"/>
            <w:noWrap/>
            <w:vAlign w:val="bottom"/>
            <w:hideMark/>
          </w:tcPr>
          <w:p w14:paraId="7084821A" w14:textId="77777777" w:rsidR="004C49B8" w:rsidRPr="00EF33B3" w:rsidRDefault="004C49B8" w:rsidP="004C49B8">
            <w:pPr>
              <w:spacing w:after="0" w:line="240" w:lineRule="auto"/>
              <w:rPr>
                <w:rFonts w:ascii="Times New Roman" w:eastAsia="Times New Roman" w:hAnsi="Times New Roman" w:cs="Times New Roman"/>
                <w:sz w:val="20"/>
                <w:szCs w:val="20"/>
              </w:rPr>
            </w:pPr>
          </w:p>
        </w:tc>
        <w:tc>
          <w:tcPr>
            <w:tcW w:w="3041" w:type="dxa"/>
            <w:gridSpan w:val="3"/>
            <w:shd w:val="clear" w:color="auto" w:fill="auto"/>
            <w:noWrap/>
            <w:hideMark/>
          </w:tcPr>
          <w:p w14:paraId="26800952" w14:textId="0387FF1A" w:rsidR="004C49B8" w:rsidRPr="00EF33B3" w:rsidRDefault="004C49B8" w:rsidP="004C49B8">
            <w:pPr>
              <w:spacing w:after="0" w:line="240" w:lineRule="auto"/>
              <w:rPr>
                <w:rFonts w:ascii="Calibri" w:eastAsia="Times New Roman" w:hAnsi="Calibri" w:cs="Calibri"/>
                <w:color w:val="000000"/>
              </w:rPr>
            </w:pPr>
            <w:r w:rsidRPr="000E4CAE">
              <w:t xml:space="preserve">Note payable </w:t>
            </w:r>
          </w:p>
        </w:tc>
        <w:tc>
          <w:tcPr>
            <w:tcW w:w="1313" w:type="dxa"/>
            <w:shd w:val="clear" w:color="auto" w:fill="auto"/>
            <w:noWrap/>
            <w:hideMark/>
          </w:tcPr>
          <w:p w14:paraId="18F25B98" w14:textId="13523E79" w:rsidR="004C49B8" w:rsidRPr="00EF33B3" w:rsidRDefault="004C49B8" w:rsidP="004C49B8">
            <w:pPr>
              <w:spacing w:after="0" w:line="240" w:lineRule="auto"/>
              <w:jc w:val="right"/>
              <w:rPr>
                <w:rFonts w:ascii="Calibri" w:eastAsia="Times New Roman" w:hAnsi="Calibri" w:cs="Calibri"/>
                <w:color w:val="000000"/>
                <w:u w:val="single"/>
              </w:rPr>
            </w:pPr>
            <w:r w:rsidRPr="000E4CAE">
              <w:t>$258,650</w:t>
            </w:r>
          </w:p>
        </w:tc>
      </w:tr>
      <w:tr w:rsidR="004C49B8" w:rsidRPr="00EF33B3" w14:paraId="100C7519" w14:textId="77777777" w:rsidTr="003E5139">
        <w:trPr>
          <w:trHeight w:val="285"/>
        </w:trPr>
        <w:tc>
          <w:tcPr>
            <w:tcW w:w="1786" w:type="dxa"/>
            <w:shd w:val="clear" w:color="auto" w:fill="auto"/>
            <w:noWrap/>
            <w:vAlign w:val="bottom"/>
            <w:hideMark/>
          </w:tcPr>
          <w:p w14:paraId="24AA9750" w14:textId="77777777" w:rsidR="004C49B8" w:rsidRPr="003E5139" w:rsidRDefault="004C49B8" w:rsidP="004C49B8">
            <w:pPr>
              <w:spacing w:after="0" w:line="240" w:lineRule="auto"/>
              <w:jc w:val="right"/>
              <w:rPr>
                <w:rFonts w:ascii="Calibri" w:eastAsia="Times New Roman" w:hAnsi="Calibri" w:cs="Calibri"/>
                <w:color w:val="000000"/>
                <w:u w:val="single"/>
              </w:rPr>
            </w:pPr>
          </w:p>
        </w:tc>
        <w:tc>
          <w:tcPr>
            <w:tcW w:w="222" w:type="dxa"/>
            <w:shd w:val="clear" w:color="auto" w:fill="auto"/>
            <w:noWrap/>
            <w:hideMark/>
          </w:tcPr>
          <w:p w14:paraId="3F7B8B77" w14:textId="55335A02" w:rsidR="004C49B8" w:rsidRPr="00EF33B3" w:rsidRDefault="004C49B8" w:rsidP="004C49B8">
            <w:pPr>
              <w:spacing w:after="0" w:line="240" w:lineRule="auto"/>
              <w:rPr>
                <w:rFonts w:ascii="Times New Roman" w:eastAsia="Times New Roman" w:hAnsi="Times New Roman" w:cs="Times New Roman"/>
                <w:sz w:val="20"/>
                <w:szCs w:val="20"/>
              </w:rPr>
            </w:pPr>
          </w:p>
        </w:tc>
        <w:tc>
          <w:tcPr>
            <w:tcW w:w="2819" w:type="dxa"/>
            <w:gridSpan w:val="2"/>
            <w:shd w:val="clear" w:color="auto" w:fill="auto"/>
            <w:noWrap/>
            <w:hideMark/>
          </w:tcPr>
          <w:p w14:paraId="01A21EF0" w14:textId="716FC8EA" w:rsidR="004C49B8" w:rsidRPr="004C49B8" w:rsidRDefault="004C49B8" w:rsidP="004C49B8">
            <w:pPr>
              <w:spacing w:after="0" w:line="240" w:lineRule="auto"/>
              <w:rPr>
                <w:rFonts w:ascii="Calibri" w:eastAsia="Times New Roman" w:hAnsi="Calibri" w:cs="Calibri"/>
                <w:b/>
                <w:bCs/>
                <w:color w:val="000000"/>
              </w:rPr>
            </w:pPr>
            <w:r w:rsidRPr="004C49B8">
              <w:rPr>
                <w:b/>
                <w:bCs/>
              </w:rPr>
              <w:t xml:space="preserve">Total Liabilities </w:t>
            </w:r>
          </w:p>
        </w:tc>
        <w:tc>
          <w:tcPr>
            <w:tcW w:w="1313" w:type="dxa"/>
            <w:shd w:val="clear" w:color="auto" w:fill="auto"/>
            <w:noWrap/>
            <w:hideMark/>
          </w:tcPr>
          <w:p w14:paraId="43899456" w14:textId="2E10E574" w:rsidR="004C49B8" w:rsidRPr="004C49B8" w:rsidRDefault="004C49B8" w:rsidP="004C49B8">
            <w:pPr>
              <w:spacing w:after="0" w:line="240" w:lineRule="auto"/>
              <w:jc w:val="right"/>
              <w:rPr>
                <w:rFonts w:ascii="Calibri" w:eastAsia="Times New Roman" w:hAnsi="Calibri" w:cs="Calibri"/>
                <w:b/>
                <w:bCs/>
                <w:color w:val="000000"/>
                <w:u w:val="single"/>
              </w:rPr>
            </w:pPr>
            <w:r w:rsidRPr="004C49B8">
              <w:rPr>
                <w:b/>
                <w:bCs/>
              </w:rPr>
              <w:t>$356,148</w:t>
            </w:r>
          </w:p>
        </w:tc>
      </w:tr>
      <w:tr w:rsidR="004C49B8" w:rsidRPr="00EF33B3" w14:paraId="3BAE77E7" w14:textId="77777777" w:rsidTr="003E5139">
        <w:trPr>
          <w:trHeight w:val="315"/>
        </w:trPr>
        <w:tc>
          <w:tcPr>
            <w:tcW w:w="2008" w:type="dxa"/>
            <w:gridSpan w:val="2"/>
            <w:shd w:val="clear" w:color="auto" w:fill="auto"/>
            <w:noWrap/>
            <w:vAlign w:val="bottom"/>
            <w:hideMark/>
          </w:tcPr>
          <w:p w14:paraId="48F4F475" w14:textId="77777777" w:rsidR="004C49B8" w:rsidRPr="003E5139" w:rsidRDefault="004C49B8" w:rsidP="004C49B8">
            <w:pPr>
              <w:spacing w:after="0" w:line="240" w:lineRule="auto"/>
              <w:rPr>
                <w:rFonts w:ascii="Calibri" w:eastAsia="Times New Roman" w:hAnsi="Calibri" w:cs="Calibri"/>
                <w:b/>
                <w:bCs/>
                <w:color w:val="000000"/>
              </w:rPr>
            </w:pPr>
            <w:r w:rsidRPr="003E5139">
              <w:rPr>
                <w:rFonts w:ascii="Calibri" w:eastAsia="Times New Roman" w:hAnsi="Calibri" w:cs="Calibri"/>
                <w:b/>
                <w:bCs/>
                <w:color w:val="000000"/>
              </w:rPr>
              <w:t>Net assets</w:t>
            </w:r>
          </w:p>
        </w:tc>
        <w:tc>
          <w:tcPr>
            <w:tcW w:w="2819" w:type="dxa"/>
            <w:gridSpan w:val="2"/>
            <w:shd w:val="clear" w:color="auto" w:fill="auto"/>
            <w:noWrap/>
            <w:vAlign w:val="bottom"/>
            <w:hideMark/>
          </w:tcPr>
          <w:p w14:paraId="78530511" w14:textId="77777777" w:rsidR="004C49B8" w:rsidRPr="00EF33B3" w:rsidRDefault="004C49B8" w:rsidP="004C49B8">
            <w:pPr>
              <w:spacing w:after="0" w:line="240" w:lineRule="auto"/>
              <w:rPr>
                <w:rFonts w:ascii="Calibri" w:eastAsia="Times New Roman" w:hAnsi="Calibri" w:cs="Calibri"/>
                <w:b/>
                <w:bCs/>
                <w:color w:val="000000"/>
                <w:sz w:val="24"/>
                <w:szCs w:val="24"/>
              </w:rPr>
            </w:pPr>
          </w:p>
        </w:tc>
        <w:tc>
          <w:tcPr>
            <w:tcW w:w="1313" w:type="dxa"/>
            <w:shd w:val="clear" w:color="auto" w:fill="auto"/>
            <w:noWrap/>
            <w:vAlign w:val="bottom"/>
            <w:hideMark/>
          </w:tcPr>
          <w:p w14:paraId="23F651D7" w14:textId="77777777" w:rsidR="004C49B8" w:rsidRPr="00EF33B3" w:rsidRDefault="004C49B8" w:rsidP="004C49B8">
            <w:pPr>
              <w:spacing w:after="0" w:line="240" w:lineRule="auto"/>
              <w:rPr>
                <w:rFonts w:ascii="Times New Roman" w:eastAsia="Times New Roman" w:hAnsi="Times New Roman" w:cs="Times New Roman"/>
                <w:sz w:val="20"/>
                <w:szCs w:val="20"/>
              </w:rPr>
            </w:pPr>
          </w:p>
        </w:tc>
      </w:tr>
      <w:tr w:rsidR="003E5139" w:rsidRPr="00EF33B3" w14:paraId="73200FA6" w14:textId="77777777" w:rsidTr="003E5139">
        <w:trPr>
          <w:trHeight w:val="315"/>
        </w:trPr>
        <w:tc>
          <w:tcPr>
            <w:tcW w:w="1786" w:type="dxa"/>
            <w:shd w:val="clear" w:color="auto" w:fill="auto"/>
            <w:noWrap/>
            <w:vAlign w:val="bottom"/>
          </w:tcPr>
          <w:p w14:paraId="57556D16" w14:textId="77777777" w:rsidR="003E5139" w:rsidRPr="00EF33B3" w:rsidRDefault="003E5139" w:rsidP="004C49B8">
            <w:pPr>
              <w:spacing w:after="0" w:line="240" w:lineRule="auto"/>
              <w:rPr>
                <w:rFonts w:ascii="Calibri" w:eastAsia="Times New Roman" w:hAnsi="Calibri" w:cs="Calibri"/>
                <w:b/>
                <w:bCs/>
                <w:color w:val="000000"/>
                <w:sz w:val="24"/>
                <w:szCs w:val="24"/>
              </w:rPr>
            </w:pPr>
          </w:p>
        </w:tc>
        <w:tc>
          <w:tcPr>
            <w:tcW w:w="3041" w:type="dxa"/>
            <w:gridSpan w:val="3"/>
            <w:shd w:val="clear" w:color="auto" w:fill="auto"/>
            <w:vAlign w:val="bottom"/>
          </w:tcPr>
          <w:p w14:paraId="0759A19F" w14:textId="583660BE" w:rsidR="003E5139" w:rsidRPr="003E5139" w:rsidRDefault="003E5139" w:rsidP="003E5139">
            <w:pPr>
              <w:spacing w:after="0" w:line="240" w:lineRule="auto"/>
              <w:rPr>
                <w:rFonts w:ascii="Calibri" w:eastAsia="Times New Roman" w:hAnsi="Calibri" w:cs="Calibri"/>
                <w:color w:val="000000"/>
              </w:rPr>
            </w:pPr>
            <w:r w:rsidRPr="003E5139">
              <w:rPr>
                <w:rFonts w:ascii="Calibri" w:eastAsia="Times New Roman" w:hAnsi="Calibri" w:cs="Calibri"/>
                <w:color w:val="000000"/>
              </w:rPr>
              <w:t xml:space="preserve">With Donor Restrictions </w:t>
            </w:r>
          </w:p>
        </w:tc>
        <w:tc>
          <w:tcPr>
            <w:tcW w:w="1313" w:type="dxa"/>
            <w:shd w:val="clear" w:color="auto" w:fill="auto"/>
            <w:noWrap/>
            <w:vAlign w:val="bottom"/>
          </w:tcPr>
          <w:p w14:paraId="149A00DE" w14:textId="4D4FBA4E" w:rsidR="003E5139" w:rsidRPr="00EF33B3" w:rsidRDefault="003E5139" w:rsidP="003E513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5139" w:rsidRPr="00EF33B3" w14:paraId="50351663" w14:textId="77777777" w:rsidTr="003E5139">
        <w:trPr>
          <w:trHeight w:val="315"/>
        </w:trPr>
        <w:tc>
          <w:tcPr>
            <w:tcW w:w="1786" w:type="dxa"/>
            <w:shd w:val="clear" w:color="auto" w:fill="auto"/>
            <w:noWrap/>
            <w:vAlign w:val="bottom"/>
          </w:tcPr>
          <w:p w14:paraId="07FCB9AF" w14:textId="77777777" w:rsidR="003E5139" w:rsidRPr="00EF33B3" w:rsidRDefault="003E5139" w:rsidP="004C49B8">
            <w:pPr>
              <w:spacing w:after="0" w:line="240" w:lineRule="auto"/>
              <w:rPr>
                <w:rFonts w:ascii="Calibri" w:eastAsia="Times New Roman" w:hAnsi="Calibri" w:cs="Calibri"/>
                <w:b/>
                <w:bCs/>
                <w:color w:val="000000"/>
                <w:sz w:val="24"/>
                <w:szCs w:val="24"/>
              </w:rPr>
            </w:pPr>
          </w:p>
        </w:tc>
        <w:tc>
          <w:tcPr>
            <w:tcW w:w="3041" w:type="dxa"/>
            <w:gridSpan w:val="3"/>
            <w:shd w:val="clear" w:color="auto" w:fill="auto"/>
            <w:vAlign w:val="bottom"/>
          </w:tcPr>
          <w:p w14:paraId="056C33A9" w14:textId="17DA4FD1" w:rsidR="003E5139" w:rsidRPr="003E5139" w:rsidRDefault="003E5139" w:rsidP="003E5139">
            <w:pPr>
              <w:spacing w:after="0" w:line="240" w:lineRule="auto"/>
              <w:rPr>
                <w:rFonts w:ascii="Calibri" w:eastAsia="Times New Roman" w:hAnsi="Calibri" w:cs="Calibri"/>
                <w:color w:val="000000"/>
              </w:rPr>
            </w:pPr>
            <w:r w:rsidRPr="003E5139">
              <w:rPr>
                <w:rFonts w:ascii="Calibri" w:eastAsia="Times New Roman" w:hAnsi="Calibri" w:cs="Calibri"/>
                <w:color w:val="000000"/>
              </w:rPr>
              <w:t xml:space="preserve">Without Donor Restrictions </w:t>
            </w:r>
          </w:p>
        </w:tc>
        <w:tc>
          <w:tcPr>
            <w:tcW w:w="1313" w:type="dxa"/>
            <w:shd w:val="clear" w:color="auto" w:fill="auto"/>
            <w:noWrap/>
            <w:vAlign w:val="bottom"/>
          </w:tcPr>
          <w:p w14:paraId="2306A001" w14:textId="2D34B867" w:rsidR="003E5139" w:rsidRPr="00EF33B3" w:rsidRDefault="003E5139" w:rsidP="004C49B8">
            <w:pPr>
              <w:spacing w:after="0" w:line="240" w:lineRule="auto"/>
              <w:rPr>
                <w:rFonts w:ascii="Times New Roman" w:eastAsia="Times New Roman" w:hAnsi="Times New Roman" w:cs="Times New Roman"/>
                <w:sz w:val="20"/>
                <w:szCs w:val="20"/>
              </w:rPr>
            </w:pPr>
            <w:r w:rsidRPr="003E5139">
              <w:rPr>
                <w:rFonts w:ascii="Calibri" w:eastAsia="Times New Roman" w:hAnsi="Calibri" w:cs="Calibri"/>
                <w:color w:val="000000"/>
              </w:rPr>
              <w:t>$1,303,634</w:t>
            </w:r>
          </w:p>
        </w:tc>
      </w:tr>
      <w:tr w:rsidR="003E5139" w:rsidRPr="00EF33B3" w14:paraId="56737B87" w14:textId="77777777" w:rsidTr="003E5139">
        <w:trPr>
          <w:trHeight w:val="315"/>
        </w:trPr>
        <w:tc>
          <w:tcPr>
            <w:tcW w:w="1786" w:type="dxa"/>
            <w:shd w:val="clear" w:color="auto" w:fill="auto"/>
            <w:noWrap/>
            <w:vAlign w:val="bottom"/>
          </w:tcPr>
          <w:p w14:paraId="45F2D241" w14:textId="77777777" w:rsidR="003E5139" w:rsidRPr="00EF33B3" w:rsidRDefault="003E5139" w:rsidP="003E5139">
            <w:pPr>
              <w:spacing w:after="0" w:line="240" w:lineRule="auto"/>
              <w:rPr>
                <w:rFonts w:ascii="Calibri" w:eastAsia="Times New Roman" w:hAnsi="Calibri" w:cs="Calibri"/>
                <w:b/>
                <w:bCs/>
                <w:color w:val="000000"/>
                <w:sz w:val="24"/>
                <w:szCs w:val="24"/>
              </w:rPr>
            </w:pPr>
          </w:p>
        </w:tc>
        <w:tc>
          <w:tcPr>
            <w:tcW w:w="236" w:type="dxa"/>
            <w:gridSpan w:val="2"/>
            <w:shd w:val="clear" w:color="auto" w:fill="auto"/>
            <w:vAlign w:val="bottom"/>
          </w:tcPr>
          <w:p w14:paraId="0F78D2EB" w14:textId="77777777" w:rsidR="003E5139" w:rsidRPr="00EF33B3" w:rsidRDefault="003E5139" w:rsidP="003E5139">
            <w:pPr>
              <w:spacing w:after="0" w:line="240" w:lineRule="auto"/>
              <w:rPr>
                <w:rFonts w:ascii="Calibri" w:eastAsia="Times New Roman" w:hAnsi="Calibri" w:cs="Calibri"/>
                <w:b/>
                <w:bCs/>
                <w:color w:val="000000"/>
                <w:sz w:val="24"/>
                <w:szCs w:val="24"/>
              </w:rPr>
            </w:pPr>
          </w:p>
        </w:tc>
        <w:tc>
          <w:tcPr>
            <w:tcW w:w="2805" w:type="dxa"/>
            <w:shd w:val="clear" w:color="auto" w:fill="auto"/>
          </w:tcPr>
          <w:p w14:paraId="294049E7" w14:textId="756FF889" w:rsidR="003E5139" w:rsidRPr="003E5139" w:rsidRDefault="003E5139" w:rsidP="003E5139">
            <w:pPr>
              <w:spacing w:after="0" w:line="240" w:lineRule="auto"/>
              <w:rPr>
                <w:rFonts w:ascii="Calibri" w:eastAsia="Times New Roman" w:hAnsi="Calibri" w:cs="Calibri"/>
                <w:b/>
                <w:bCs/>
                <w:color w:val="000000"/>
                <w:sz w:val="24"/>
                <w:szCs w:val="24"/>
              </w:rPr>
            </w:pPr>
            <w:r w:rsidRPr="003E5139">
              <w:rPr>
                <w:b/>
                <w:bCs/>
              </w:rPr>
              <w:t xml:space="preserve">Total net assets </w:t>
            </w:r>
          </w:p>
        </w:tc>
        <w:tc>
          <w:tcPr>
            <w:tcW w:w="1313" w:type="dxa"/>
            <w:shd w:val="clear" w:color="auto" w:fill="auto"/>
            <w:noWrap/>
          </w:tcPr>
          <w:p w14:paraId="225FF62A" w14:textId="5ED7756A" w:rsidR="003E5139" w:rsidRPr="003E5139" w:rsidRDefault="003E5139" w:rsidP="003E5139">
            <w:pPr>
              <w:spacing w:after="0" w:line="240" w:lineRule="auto"/>
              <w:rPr>
                <w:rFonts w:ascii="Times New Roman" w:eastAsia="Times New Roman" w:hAnsi="Times New Roman" w:cs="Times New Roman"/>
                <w:b/>
                <w:bCs/>
                <w:sz w:val="20"/>
                <w:szCs w:val="20"/>
              </w:rPr>
            </w:pPr>
            <w:r w:rsidRPr="003E5139">
              <w:rPr>
                <w:b/>
                <w:bCs/>
              </w:rPr>
              <w:t>$1,303,634</w:t>
            </w:r>
          </w:p>
        </w:tc>
      </w:tr>
      <w:tr w:rsidR="003E5139" w:rsidRPr="00EF33B3" w14:paraId="4A4466E4" w14:textId="77777777" w:rsidTr="003E5139">
        <w:trPr>
          <w:trHeight w:val="285"/>
        </w:trPr>
        <w:tc>
          <w:tcPr>
            <w:tcW w:w="4827" w:type="dxa"/>
            <w:gridSpan w:val="4"/>
            <w:shd w:val="clear" w:color="auto" w:fill="auto"/>
            <w:noWrap/>
            <w:vAlign w:val="bottom"/>
            <w:hideMark/>
          </w:tcPr>
          <w:p w14:paraId="68166194" w14:textId="77777777" w:rsidR="003E5139" w:rsidRPr="003E5139" w:rsidRDefault="003E5139" w:rsidP="003E5139">
            <w:pPr>
              <w:spacing w:after="0" w:line="240" w:lineRule="auto"/>
              <w:rPr>
                <w:rFonts w:ascii="Calibri" w:eastAsia="Times New Roman" w:hAnsi="Calibri" w:cs="Calibri"/>
                <w:b/>
                <w:bCs/>
                <w:color w:val="000000"/>
                <w:u w:val="single"/>
              </w:rPr>
            </w:pPr>
            <w:r w:rsidRPr="003E5139">
              <w:rPr>
                <w:rFonts w:ascii="Calibri" w:eastAsia="Times New Roman" w:hAnsi="Calibri" w:cs="Calibri"/>
                <w:b/>
                <w:bCs/>
                <w:color w:val="000000"/>
                <w:u w:val="single"/>
              </w:rPr>
              <w:t>Total liabilities and net assets</w:t>
            </w:r>
          </w:p>
        </w:tc>
        <w:tc>
          <w:tcPr>
            <w:tcW w:w="1313" w:type="dxa"/>
            <w:shd w:val="clear" w:color="auto" w:fill="auto"/>
            <w:noWrap/>
            <w:vAlign w:val="bottom"/>
            <w:hideMark/>
          </w:tcPr>
          <w:p w14:paraId="3DAA5324" w14:textId="2B97D4EC" w:rsidR="003E5139" w:rsidRPr="003E5139" w:rsidRDefault="003E5139" w:rsidP="003E5139">
            <w:pPr>
              <w:spacing w:after="0" w:line="240" w:lineRule="auto"/>
              <w:jc w:val="right"/>
              <w:rPr>
                <w:rFonts w:ascii="Calibri" w:eastAsia="Times New Roman" w:hAnsi="Calibri" w:cs="Calibri"/>
                <w:b/>
                <w:bCs/>
                <w:color w:val="000000"/>
                <w:u w:val="single"/>
              </w:rPr>
            </w:pPr>
            <w:r w:rsidRPr="003E5139">
              <w:rPr>
                <w:rFonts w:ascii="Calibri" w:eastAsia="Times New Roman" w:hAnsi="Calibri" w:cs="Calibri"/>
                <w:b/>
                <w:bCs/>
                <w:color w:val="000000"/>
                <w:u w:val="single"/>
              </w:rPr>
              <w:t>$1,659,782</w:t>
            </w:r>
          </w:p>
        </w:tc>
      </w:tr>
    </w:tbl>
    <w:p w14:paraId="7DD77FAC" w14:textId="77777777" w:rsidR="004C49B8" w:rsidRDefault="004C49B8" w:rsidP="00C2518C"/>
    <w:p w14:paraId="0EF9AFDB" w14:textId="77777777" w:rsidR="00B72A50" w:rsidRDefault="00B72A50" w:rsidP="00C2518C"/>
    <w:tbl>
      <w:tblPr>
        <w:tblW w:w="6140" w:type="dxa"/>
        <w:tblLook w:val="04A0" w:firstRow="1" w:lastRow="0" w:firstColumn="1" w:lastColumn="0" w:noHBand="0" w:noVBand="1"/>
      </w:tblPr>
      <w:tblGrid>
        <w:gridCol w:w="1786"/>
        <w:gridCol w:w="222"/>
        <w:gridCol w:w="2819"/>
        <w:gridCol w:w="1313"/>
      </w:tblGrid>
      <w:tr w:rsidR="003E5139" w:rsidRPr="00EF33B3" w14:paraId="5E677336" w14:textId="77777777" w:rsidTr="001A5030">
        <w:trPr>
          <w:trHeight w:val="323"/>
        </w:trPr>
        <w:tc>
          <w:tcPr>
            <w:tcW w:w="6140" w:type="dxa"/>
            <w:gridSpan w:val="4"/>
            <w:shd w:val="clear" w:color="auto" w:fill="auto"/>
            <w:noWrap/>
            <w:vAlign w:val="bottom"/>
            <w:hideMark/>
          </w:tcPr>
          <w:p w14:paraId="360E51DE" w14:textId="1342066A" w:rsidR="003E5139" w:rsidRPr="00EF33B3" w:rsidRDefault="003E5139" w:rsidP="00C12DCE">
            <w:pPr>
              <w:pStyle w:val="Heading2"/>
              <w:rPr>
                <w:rFonts w:ascii="Times New Roman" w:eastAsia="Times New Roman" w:hAnsi="Times New Roman" w:cs="Times New Roman"/>
                <w:sz w:val="20"/>
                <w:szCs w:val="20"/>
              </w:rPr>
            </w:pPr>
            <w:r>
              <w:rPr>
                <w:rFonts w:eastAsia="Times New Roman"/>
              </w:rPr>
              <w:t>Support and Revenues</w:t>
            </w:r>
          </w:p>
        </w:tc>
      </w:tr>
      <w:tr w:rsidR="003E5139" w:rsidRPr="00EF33B3" w14:paraId="5E8BE731" w14:textId="77777777" w:rsidTr="001A5030">
        <w:trPr>
          <w:trHeight w:val="293"/>
        </w:trPr>
        <w:tc>
          <w:tcPr>
            <w:tcW w:w="2008" w:type="dxa"/>
            <w:gridSpan w:val="2"/>
            <w:shd w:val="clear" w:color="auto" w:fill="auto"/>
            <w:noWrap/>
            <w:hideMark/>
          </w:tcPr>
          <w:p w14:paraId="41BBB5FC" w14:textId="097D675B" w:rsidR="003E5139" w:rsidRPr="00EF33B3" w:rsidRDefault="003E5139" w:rsidP="003E5139">
            <w:pPr>
              <w:spacing w:after="0" w:line="240" w:lineRule="auto"/>
              <w:rPr>
                <w:rFonts w:ascii="Calibri" w:eastAsia="Times New Roman" w:hAnsi="Calibri" w:cs="Calibri"/>
                <w:b/>
                <w:bCs/>
                <w:color w:val="000000"/>
              </w:rPr>
            </w:pPr>
            <w:r w:rsidRPr="00D516A4">
              <w:t xml:space="preserve">Grant Revenue </w:t>
            </w:r>
          </w:p>
        </w:tc>
        <w:tc>
          <w:tcPr>
            <w:tcW w:w="2819" w:type="dxa"/>
            <w:shd w:val="clear" w:color="auto" w:fill="auto"/>
            <w:noWrap/>
            <w:hideMark/>
          </w:tcPr>
          <w:p w14:paraId="59415671" w14:textId="34E7E843" w:rsidR="003E5139" w:rsidRPr="00EF33B3" w:rsidRDefault="003E5139" w:rsidP="003E5139">
            <w:pPr>
              <w:spacing w:after="0" w:line="240" w:lineRule="auto"/>
              <w:rPr>
                <w:rFonts w:ascii="Calibri" w:eastAsia="Times New Roman" w:hAnsi="Calibri" w:cs="Calibri"/>
                <w:b/>
                <w:bCs/>
                <w:color w:val="000000"/>
              </w:rPr>
            </w:pPr>
          </w:p>
        </w:tc>
        <w:tc>
          <w:tcPr>
            <w:tcW w:w="1313" w:type="dxa"/>
            <w:shd w:val="clear" w:color="auto" w:fill="auto"/>
            <w:noWrap/>
            <w:hideMark/>
          </w:tcPr>
          <w:p w14:paraId="3A9E1B59" w14:textId="3FC62D4E" w:rsidR="003E5139" w:rsidRPr="00EF33B3" w:rsidRDefault="003E5139" w:rsidP="003E5139">
            <w:pPr>
              <w:spacing w:after="0" w:line="240" w:lineRule="auto"/>
              <w:rPr>
                <w:rFonts w:ascii="Times New Roman" w:eastAsia="Times New Roman" w:hAnsi="Times New Roman" w:cs="Times New Roman"/>
                <w:sz w:val="20"/>
                <w:szCs w:val="20"/>
              </w:rPr>
            </w:pPr>
            <w:r w:rsidRPr="00D516A4">
              <w:t>$387,342</w:t>
            </w:r>
          </w:p>
        </w:tc>
      </w:tr>
      <w:tr w:rsidR="003E5139" w:rsidRPr="00EF33B3" w14:paraId="2C655F76" w14:textId="77777777" w:rsidTr="001A5030">
        <w:trPr>
          <w:trHeight w:val="293"/>
        </w:trPr>
        <w:tc>
          <w:tcPr>
            <w:tcW w:w="2008" w:type="dxa"/>
            <w:gridSpan w:val="2"/>
            <w:shd w:val="clear" w:color="auto" w:fill="auto"/>
            <w:noWrap/>
          </w:tcPr>
          <w:p w14:paraId="448E118D" w14:textId="3D1180CA" w:rsidR="003E5139" w:rsidRPr="00EF33B3" w:rsidRDefault="003E5139" w:rsidP="003E5139">
            <w:pPr>
              <w:spacing w:after="0" w:line="240" w:lineRule="auto"/>
              <w:rPr>
                <w:rFonts w:ascii="Calibri" w:eastAsia="Times New Roman" w:hAnsi="Calibri" w:cs="Calibri"/>
                <w:b/>
                <w:bCs/>
                <w:color w:val="000000"/>
              </w:rPr>
            </w:pPr>
            <w:r w:rsidRPr="00D516A4">
              <w:t xml:space="preserve">Program Services </w:t>
            </w:r>
          </w:p>
        </w:tc>
        <w:tc>
          <w:tcPr>
            <w:tcW w:w="2819" w:type="dxa"/>
            <w:shd w:val="clear" w:color="auto" w:fill="auto"/>
            <w:noWrap/>
          </w:tcPr>
          <w:p w14:paraId="1944163B" w14:textId="17BF2107" w:rsidR="003E5139" w:rsidRPr="00EF33B3" w:rsidRDefault="003E5139" w:rsidP="003E5139">
            <w:pPr>
              <w:spacing w:after="0" w:line="240" w:lineRule="auto"/>
              <w:rPr>
                <w:rFonts w:ascii="Calibri" w:eastAsia="Times New Roman" w:hAnsi="Calibri" w:cs="Calibri"/>
                <w:b/>
                <w:bCs/>
                <w:color w:val="000000"/>
              </w:rPr>
            </w:pPr>
          </w:p>
        </w:tc>
        <w:tc>
          <w:tcPr>
            <w:tcW w:w="1313" w:type="dxa"/>
            <w:shd w:val="clear" w:color="auto" w:fill="auto"/>
            <w:noWrap/>
          </w:tcPr>
          <w:p w14:paraId="64159E43" w14:textId="3C2FFB0E" w:rsidR="003E5139" w:rsidRPr="00EF33B3" w:rsidRDefault="003E5139" w:rsidP="003E5139">
            <w:pPr>
              <w:spacing w:after="0" w:line="240" w:lineRule="auto"/>
              <w:rPr>
                <w:rFonts w:ascii="Times New Roman" w:eastAsia="Times New Roman" w:hAnsi="Times New Roman" w:cs="Times New Roman"/>
                <w:sz w:val="20"/>
                <w:szCs w:val="20"/>
              </w:rPr>
            </w:pPr>
            <w:r w:rsidRPr="00D516A4">
              <w:t>$936,834</w:t>
            </w:r>
          </w:p>
        </w:tc>
      </w:tr>
      <w:tr w:rsidR="003E5139" w:rsidRPr="00EF33B3" w14:paraId="7A874B56" w14:textId="77777777" w:rsidTr="001A5030">
        <w:trPr>
          <w:trHeight w:val="293"/>
        </w:trPr>
        <w:tc>
          <w:tcPr>
            <w:tcW w:w="2008" w:type="dxa"/>
            <w:gridSpan w:val="2"/>
            <w:shd w:val="clear" w:color="auto" w:fill="auto"/>
            <w:noWrap/>
          </w:tcPr>
          <w:p w14:paraId="270D4D0D" w14:textId="0A2D4ACD" w:rsidR="003E5139" w:rsidRPr="00EF33B3" w:rsidRDefault="003E5139" w:rsidP="003E5139">
            <w:pPr>
              <w:spacing w:after="0" w:line="240" w:lineRule="auto"/>
              <w:rPr>
                <w:rFonts w:ascii="Calibri" w:eastAsia="Times New Roman" w:hAnsi="Calibri" w:cs="Calibri"/>
                <w:b/>
                <w:bCs/>
                <w:color w:val="000000"/>
              </w:rPr>
            </w:pPr>
            <w:r w:rsidRPr="00D516A4">
              <w:t xml:space="preserve">Contributions </w:t>
            </w:r>
          </w:p>
        </w:tc>
        <w:tc>
          <w:tcPr>
            <w:tcW w:w="2819" w:type="dxa"/>
            <w:shd w:val="clear" w:color="auto" w:fill="auto"/>
            <w:noWrap/>
          </w:tcPr>
          <w:p w14:paraId="4451A305" w14:textId="3F6CD54D" w:rsidR="003E5139" w:rsidRPr="00EF33B3" w:rsidRDefault="003E5139" w:rsidP="003E5139">
            <w:pPr>
              <w:spacing w:after="0" w:line="240" w:lineRule="auto"/>
              <w:rPr>
                <w:rFonts w:ascii="Calibri" w:eastAsia="Times New Roman" w:hAnsi="Calibri" w:cs="Calibri"/>
                <w:b/>
                <w:bCs/>
                <w:color w:val="000000"/>
              </w:rPr>
            </w:pPr>
          </w:p>
        </w:tc>
        <w:tc>
          <w:tcPr>
            <w:tcW w:w="1313" w:type="dxa"/>
            <w:shd w:val="clear" w:color="auto" w:fill="auto"/>
            <w:noWrap/>
          </w:tcPr>
          <w:p w14:paraId="0AE7D29B" w14:textId="7612845D" w:rsidR="003E5139" w:rsidRPr="00EF33B3" w:rsidRDefault="003E5139" w:rsidP="003E5139">
            <w:pPr>
              <w:spacing w:after="0" w:line="240" w:lineRule="auto"/>
              <w:rPr>
                <w:rFonts w:ascii="Times New Roman" w:eastAsia="Times New Roman" w:hAnsi="Times New Roman" w:cs="Times New Roman"/>
                <w:sz w:val="20"/>
                <w:szCs w:val="20"/>
              </w:rPr>
            </w:pPr>
            <w:r w:rsidRPr="00D516A4">
              <w:t>$44,445</w:t>
            </w:r>
          </w:p>
        </w:tc>
      </w:tr>
      <w:tr w:rsidR="003E5139" w:rsidRPr="00EF33B3" w14:paraId="4944E05C" w14:textId="77777777" w:rsidTr="001A5030">
        <w:trPr>
          <w:trHeight w:val="293"/>
        </w:trPr>
        <w:tc>
          <w:tcPr>
            <w:tcW w:w="2008" w:type="dxa"/>
            <w:gridSpan w:val="2"/>
            <w:shd w:val="clear" w:color="auto" w:fill="auto"/>
            <w:noWrap/>
          </w:tcPr>
          <w:p w14:paraId="62FA33E2" w14:textId="238224D2" w:rsidR="003E5139" w:rsidRPr="00EF33B3" w:rsidRDefault="003E5139" w:rsidP="003E5139">
            <w:pPr>
              <w:spacing w:after="0" w:line="240" w:lineRule="auto"/>
              <w:rPr>
                <w:rFonts w:ascii="Calibri" w:eastAsia="Times New Roman" w:hAnsi="Calibri" w:cs="Calibri"/>
                <w:b/>
                <w:bCs/>
                <w:color w:val="000000"/>
              </w:rPr>
            </w:pPr>
            <w:r w:rsidRPr="00D516A4">
              <w:t>Fundraising</w:t>
            </w:r>
          </w:p>
        </w:tc>
        <w:tc>
          <w:tcPr>
            <w:tcW w:w="2819" w:type="dxa"/>
            <w:shd w:val="clear" w:color="auto" w:fill="auto"/>
            <w:noWrap/>
          </w:tcPr>
          <w:p w14:paraId="33A5581E" w14:textId="52CB59B0" w:rsidR="003E5139" w:rsidRPr="00EF33B3" w:rsidRDefault="003E5139" w:rsidP="003E5139">
            <w:pPr>
              <w:spacing w:after="0" w:line="240" w:lineRule="auto"/>
              <w:rPr>
                <w:rFonts w:ascii="Calibri" w:eastAsia="Times New Roman" w:hAnsi="Calibri" w:cs="Calibri"/>
                <w:b/>
                <w:bCs/>
                <w:color w:val="000000"/>
              </w:rPr>
            </w:pPr>
          </w:p>
        </w:tc>
        <w:tc>
          <w:tcPr>
            <w:tcW w:w="1313" w:type="dxa"/>
            <w:shd w:val="clear" w:color="auto" w:fill="auto"/>
            <w:noWrap/>
          </w:tcPr>
          <w:p w14:paraId="693249C4" w14:textId="5E3CA720" w:rsidR="003E5139" w:rsidRPr="00EF33B3" w:rsidRDefault="003E5139" w:rsidP="003E5139">
            <w:pPr>
              <w:spacing w:after="0" w:line="240" w:lineRule="auto"/>
              <w:rPr>
                <w:rFonts w:ascii="Times New Roman" w:eastAsia="Times New Roman" w:hAnsi="Times New Roman" w:cs="Times New Roman"/>
                <w:sz w:val="20"/>
                <w:szCs w:val="20"/>
              </w:rPr>
            </w:pPr>
            <w:r w:rsidRPr="00D516A4">
              <w:t>$3,167</w:t>
            </w:r>
          </w:p>
        </w:tc>
      </w:tr>
      <w:tr w:rsidR="003E5139" w:rsidRPr="00EF33B3" w14:paraId="04EAFA93" w14:textId="77777777" w:rsidTr="001A5030">
        <w:trPr>
          <w:trHeight w:val="293"/>
        </w:trPr>
        <w:tc>
          <w:tcPr>
            <w:tcW w:w="2008" w:type="dxa"/>
            <w:gridSpan w:val="2"/>
            <w:shd w:val="clear" w:color="auto" w:fill="auto"/>
            <w:noWrap/>
          </w:tcPr>
          <w:p w14:paraId="2A8DF7D7" w14:textId="57E46FEF" w:rsidR="003E5139" w:rsidRPr="00EF33B3" w:rsidRDefault="003E5139" w:rsidP="003E5139">
            <w:pPr>
              <w:spacing w:after="0" w:line="240" w:lineRule="auto"/>
              <w:rPr>
                <w:rFonts w:ascii="Calibri" w:eastAsia="Times New Roman" w:hAnsi="Calibri" w:cs="Calibri"/>
                <w:b/>
                <w:bCs/>
                <w:color w:val="000000"/>
              </w:rPr>
            </w:pPr>
            <w:r w:rsidRPr="00D516A4">
              <w:t xml:space="preserve">Inventory and Equipment Sales </w:t>
            </w:r>
          </w:p>
        </w:tc>
        <w:tc>
          <w:tcPr>
            <w:tcW w:w="2819" w:type="dxa"/>
            <w:shd w:val="clear" w:color="auto" w:fill="auto"/>
            <w:noWrap/>
          </w:tcPr>
          <w:p w14:paraId="2369B1BF" w14:textId="71A70095" w:rsidR="003E5139" w:rsidRPr="00EF33B3" w:rsidRDefault="003E5139" w:rsidP="003E5139">
            <w:pPr>
              <w:spacing w:after="0" w:line="240" w:lineRule="auto"/>
              <w:rPr>
                <w:rFonts w:ascii="Calibri" w:eastAsia="Times New Roman" w:hAnsi="Calibri" w:cs="Calibri"/>
                <w:b/>
                <w:bCs/>
                <w:color w:val="000000"/>
              </w:rPr>
            </w:pPr>
          </w:p>
        </w:tc>
        <w:tc>
          <w:tcPr>
            <w:tcW w:w="1313" w:type="dxa"/>
            <w:shd w:val="clear" w:color="auto" w:fill="auto"/>
            <w:noWrap/>
          </w:tcPr>
          <w:p w14:paraId="28D4C088" w14:textId="2ECE4F63" w:rsidR="003E5139" w:rsidRPr="00EF33B3" w:rsidRDefault="003E5139" w:rsidP="003E5139">
            <w:pPr>
              <w:spacing w:after="0" w:line="240" w:lineRule="auto"/>
              <w:rPr>
                <w:rFonts w:ascii="Times New Roman" w:eastAsia="Times New Roman" w:hAnsi="Times New Roman" w:cs="Times New Roman"/>
                <w:sz w:val="20"/>
                <w:szCs w:val="20"/>
              </w:rPr>
            </w:pPr>
            <w:r w:rsidRPr="00D516A4">
              <w:t>$51,701</w:t>
            </w:r>
          </w:p>
        </w:tc>
      </w:tr>
      <w:tr w:rsidR="003E5139" w:rsidRPr="00EF33B3" w14:paraId="619F9CA9" w14:textId="77777777" w:rsidTr="001A5030">
        <w:trPr>
          <w:trHeight w:val="293"/>
        </w:trPr>
        <w:tc>
          <w:tcPr>
            <w:tcW w:w="2008" w:type="dxa"/>
            <w:gridSpan w:val="2"/>
            <w:shd w:val="clear" w:color="auto" w:fill="auto"/>
            <w:noWrap/>
          </w:tcPr>
          <w:p w14:paraId="0B52424D" w14:textId="04C005C6" w:rsidR="003E5139" w:rsidRPr="00EF33B3" w:rsidRDefault="003E5139" w:rsidP="003E5139">
            <w:pPr>
              <w:spacing w:after="0" w:line="240" w:lineRule="auto"/>
              <w:rPr>
                <w:rFonts w:ascii="Calibri" w:eastAsia="Times New Roman" w:hAnsi="Calibri" w:cs="Calibri"/>
                <w:b/>
                <w:bCs/>
                <w:color w:val="000000"/>
              </w:rPr>
            </w:pPr>
            <w:r w:rsidRPr="00D516A4">
              <w:t>Other Income</w:t>
            </w:r>
            <w:r>
              <w:t xml:space="preserve"> </w:t>
            </w:r>
          </w:p>
        </w:tc>
        <w:tc>
          <w:tcPr>
            <w:tcW w:w="2819" w:type="dxa"/>
            <w:shd w:val="clear" w:color="auto" w:fill="auto"/>
            <w:noWrap/>
          </w:tcPr>
          <w:p w14:paraId="6DC63679" w14:textId="3067C891" w:rsidR="003E5139" w:rsidRPr="00EF33B3" w:rsidRDefault="003E5139" w:rsidP="003E5139">
            <w:pPr>
              <w:spacing w:after="0" w:line="240" w:lineRule="auto"/>
              <w:rPr>
                <w:rFonts w:ascii="Calibri" w:eastAsia="Times New Roman" w:hAnsi="Calibri" w:cs="Calibri"/>
                <w:b/>
                <w:bCs/>
                <w:color w:val="000000"/>
              </w:rPr>
            </w:pPr>
          </w:p>
        </w:tc>
        <w:tc>
          <w:tcPr>
            <w:tcW w:w="1313" w:type="dxa"/>
            <w:shd w:val="clear" w:color="auto" w:fill="auto"/>
            <w:noWrap/>
          </w:tcPr>
          <w:p w14:paraId="6824AA21" w14:textId="188624D7" w:rsidR="003E5139" w:rsidRPr="00EF33B3" w:rsidRDefault="003E5139" w:rsidP="003E5139">
            <w:pPr>
              <w:spacing w:after="0" w:line="240" w:lineRule="auto"/>
              <w:rPr>
                <w:rFonts w:ascii="Times New Roman" w:eastAsia="Times New Roman" w:hAnsi="Times New Roman" w:cs="Times New Roman"/>
                <w:sz w:val="20"/>
                <w:szCs w:val="20"/>
              </w:rPr>
            </w:pPr>
            <w:r w:rsidRPr="00D516A4">
              <w:t>$166,280</w:t>
            </w:r>
          </w:p>
        </w:tc>
      </w:tr>
      <w:tr w:rsidR="003E5139" w:rsidRPr="00EF33B3" w14:paraId="76BD1F8A" w14:textId="77777777" w:rsidTr="001A5030">
        <w:trPr>
          <w:trHeight w:val="285"/>
        </w:trPr>
        <w:tc>
          <w:tcPr>
            <w:tcW w:w="1786" w:type="dxa"/>
            <w:shd w:val="clear" w:color="auto" w:fill="auto"/>
            <w:noWrap/>
            <w:vAlign w:val="bottom"/>
            <w:hideMark/>
          </w:tcPr>
          <w:p w14:paraId="3831360B" w14:textId="77777777" w:rsidR="003E5139" w:rsidRPr="00EF33B3" w:rsidRDefault="003E5139" w:rsidP="003E5139">
            <w:pPr>
              <w:spacing w:after="0" w:line="240" w:lineRule="auto"/>
              <w:rPr>
                <w:rFonts w:ascii="Times New Roman" w:eastAsia="Times New Roman" w:hAnsi="Times New Roman" w:cs="Times New Roman"/>
                <w:sz w:val="20"/>
                <w:szCs w:val="20"/>
              </w:rPr>
            </w:pPr>
          </w:p>
        </w:tc>
        <w:tc>
          <w:tcPr>
            <w:tcW w:w="3041" w:type="dxa"/>
            <w:gridSpan w:val="2"/>
            <w:shd w:val="clear" w:color="auto" w:fill="auto"/>
            <w:noWrap/>
            <w:hideMark/>
          </w:tcPr>
          <w:p w14:paraId="52F30568" w14:textId="0742A560" w:rsidR="003E5139" w:rsidRPr="00121A42" w:rsidRDefault="003E5139" w:rsidP="003E5139">
            <w:pPr>
              <w:spacing w:after="0" w:line="240" w:lineRule="auto"/>
              <w:rPr>
                <w:rFonts w:ascii="Calibri" w:eastAsia="Times New Roman" w:hAnsi="Calibri" w:cs="Calibri"/>
                <w:b/>
                <w:bCs/>
                <w:color w:val="000000"/>
                <w:u w:val="single"/>
              </w:rPr>
            </w:pPr>
            <w:r w:rsidRPr="00121A42">
              <w:rPr>
                <w:b/>
                <w:bCs/>
                <w:u w:val="single"/>
              </w:rPr>
              <w:t xml:space="preserve">Total Support and Revenues </w:t>
            </w:r>
          </w:p>
        </w:tc>
        <w:tc>
          <w:tcPr>
            <w:tcW w:w="1313" w:type="dxa"/>
            <w:shd w:val="clear" w:color="auto" w:fill="auto"/>
            <w:noWrap/>
            <w:hideMark/>
          </w:tcPr>
          <w:p w14:paraId="50235693" w14:textId="5B8F5388" w:rsidR="003E5139" w:rsidRPr="00121A42" w:rsidRDefault="003E5139" w:rsidP="003E5139">
            <w:pPr>
              <w:spacing w:after="0" w:line="240" w:lineRule="auto"/>
              <w:jc w:val="right"/>
              <w:rPr>
                <w:rFonts w:ascii="Calibri" w:eastAsia="Times New Roman" w:hAnsi="Calibri" w:cs="Calibri"/>
                <w:b/>
                <w:bCs/>
                <w:color w:val="000000"/>
                <w:u w:val="single"/>
              </w:rPr>
            </w:pPr>
            <w:r w:rsidRPr="00121A42">
              <w:rPr>
                <w:b/>
                <w:bCs/>
                <w:u w:val="single"/>
              </w:rPr>
              <w:t>$1,589,769</w:t>
            </w:r>
          </w:p>
        </w:tc>
      </w:tr>
    </w:tbl>
    <w:p w14:paraId="5F54ABF5" w14:textId="77777777" w:rsidR="003E5139" w:rsidRDefault="003E5139" w:rsidP="00C2518C"/>
    <w:p w14:paraId="4D0D6C2D" w14:textId="77777777" w:rsidR="003E5139" w:rsidRDefault="003E5139" w:rsidP="00C2518C"/>
    <w:tbl>
      <w:tblPr>
        <w:tblW w:w="6245" w:type="dxa"/>
        <w:tblLook w:val="04A0" w:firstRow="1" w:lastRow="0" w:firstColumn="1" w:lastColumn="0" w:noHBand="0" w:noVBand="1"/>
      </w:tblPr>
      <w:tblGrid>
        <w:gridCol w:w="1786"/>
        <w:gridCol w:w="222"/>
        <w:gridCol w:w="2819"/>
        <w:gridCol w:w="1418"/>
      </w:tblGrid>
      <w:tr w:rsidR="00121A42" w:rsidRPr="00EF33B3" w14:paraId="6D3CCD11" w14:textId="77777777" w:rsidTr="001A5030">
        <w:trPr>
          <w:trHeight w:val="323"/>
        </w:trPr>
        <w:tc>
          <w:tcPr>
            <w:tcW w:w="6245" w:type="dxa"/>
            <w:gridSpan w:val="4"/>
            <w:shd w:val="clear" w:color="auto" w:fill="auto"/>
            <w:noWrap/>
            <w:vAlign w:val="bottom"/>
            <w:hideMark/>
          </w:tcPr>
          <w:p w14:paraId="696BF256" w14:textId="4BD8EA64" w:rsidR="00121A42" w:rsidRPr="00EF33B3" w:rsidRDefault="00121A42" w:rsidP="00C12DCE">
            <w:pPr>
              <w:pStyle w:val="Heading2"/>
              <w:rPr>
                <w:rFonts w:ascii="Times New Roman" w:eastAsia="Times New Roman" w:hAnsi="Times New Roman" w:cs="Times New Roman"/>
                <w:sz w:val="20"/>
                <w:szCs w:val="20"/>
              </w:rPr>
            </w:pPr>
            <w:r>
              <w:rPr>
                <w:rFonts w:eastAsia="Times New Roman"/>
              </w:rPr>
              <w:t>Expenses</w:t>
            </w:r>
          </w:p>
        </w:tc>
      </w:tr>
      <w:tr w:rsidR="00121A42" w:rsidRPr="00EF33B3" w14:paraId="2A031BD1" w14:textId="77777777" w:rsidTr="001A5030">
        <w:trPr>
          <w:trHeight w:val="293"/>
        </w:trPr>
        <w:tc>
          <w:tcPr>
            <w:tcW w:w="2008" w:type="dxa"/>
            <w:gridSpan w:val="2"/>
            <w:shd w:val="clear" w:color="auto" w:fill="auto"/>
            <w:noWrap/>
            <w:hideMark/>
          </w:tcPr>
          <w:p w14:paraId="509400BB" w14:textId="1A6CF4A5" w:rsidR="00121A42" w:rsidRPr="00EF33B3" w:rsidRDefault="00121A42" w:rsidP="00121A42">
            <w:pPr>
              <w:spacing w:after="0" w:line="240" w:lineRule="auto"/>
              <w:rPr>
                <w:rFonts w:ascii="Calibri" w:eastAsia="Times New Roman" w:hAnsi="Calibri" w:cs="Calibri"/>
                <w:b/>
                <w:bCs/>
                <w:color w:val="000000"/>
              </w:rPr>
            </w:pPr>
            <w:r w:rsidRPr="004F0DBE">
              <w:t xml:space="preserve">Program Services </w:t>
            </w:r>
          </w:p>
        </w:tc>
        <w:tc>
          <w:tcPr>
            <w:tcW w:w="2819" w:type="dxa"/>
            <w:shd w:val="clear" w:color="auto" w:fill="auto"/>
            <w:noWrap/>
            <w:hideMark/>
          </w:tcPr>
          <w:p w14:paraId="58ECF401" w14:textId="551A244B" w:rsidR="00121A42" w:rsidRPr="00EF33B3" w:rsidRDefault="00121A42" w:rsidP="00121A42">
            <w:pPr>
              <w:spacing w:after="0" w:line="240" w:lineRule="auto"/>
              <w:rPr>
                <w:rFonts w:ascii="Calibri" w:eastAsia="Times New Roman" w:hAnsi="Calibri" w:cs="Calibri"/>
                <w:b/>
                <w:bCs/>
                <w:color w:val="000000"/>
              </w:rPr>
            </w:pPr>
          </w:p>
        </w:tc>
        <w:tc>
          <w:tcPr>
            <w:tcW w:w="1418" w:type="dxa"/>
            <w:shd w:val="clear" w:color="auto" w:fill="auto"/>
            <w:noWrap/>
            <w:hideMark/>
          </w:tcPr>
          <w:p w14:paraId="15599DB0" w14:textId="66EF41B6" w:rsidR="00121A42" w:rsidRPr="00EF33B3" w:rsidRDefault="00121A42" w:rsidP="00121A42">
            <w:pPr>
              <w:spacing w:after="0" w:line="240" w:lineRule="auto"/>
              <w:rPr>
                <w:rFonts w:ascii="Times New Roman" w:eastAsia="Times New Roman" w:hAnsi="Times New Roman" w:cs="Times New Roman"/>
                <w:sz w:val="20"/>
                <w:szCs w:val="20"/>
              </w:rPr>
            </w:pPr>
            <w:r w:rsidRPr="004F0DBE">
              <w:t>$1,234,013</w:t>
            </w:r>
          </w:p>
        </w:tc>
      </w:tr>
      <w:tr w:rsidR="00121A42" w:rsidRPr="00EF33B3" w14:paraId="2A866C49" w14:textId="77777777" w:rsidTr="001A5030">
        <w:trPr>
          <w:trHeight w:val="293"/>
        </w:trPr>
        <w:tc>
          <w:tcPr>
            <w:tcW w:w="2008" w:type="dxa"/>
            <w:gridSpan w:val="2"/>
            <w:shd w:val="clear" w:color="auto" w:fill="auto"/>
            <w:noWrap/>
          </w:tcPr>
          <w:p w14:paraId="544EE137" w14:textId="64E78A20" w:rsidR="00121A42" w:rsidRPr="00EF33B3" w:rsidRDefault="00121A42" w:rsidP="00121A42">
            <w:pPr>
              <w:spacing w:after="0" w:line="240" w:lineRule="auto"/>
              <w:rPr>
                <w:rFonts w:ascii="Calibri" w:eastAsia="Times New Roman" w:hAnsi="Calibri" w:cs="Calibri"/>
                <w:b/>
                <w:bCs/>
                <w:color w:val="000000"/>
              </w:rPr>
            </w:pPr>
            <w:r w:rsidRPr="004F0DBE">
              <w:t>Management and General</w:t>
            </w:r>
          </w:p>
        </w:tc>
        <w:tc>
          <w:tcPr>
            <w:tcW w:w="2819" w:type="dxa"/>
            <w:shd w:val="clear" w:color="auto" w:fill="auto"/>
            <w:noWrap/>
          </w:tcPr>
          <w:p w14:paraId="7122CEF9" w14:textId="20DB555C" w:rsidR="00121A42" w:rsidRPr="00EF33B3" w:rsidRDefault="00121A42" w:rsidP="00121A42">
            <w:pPr>
              <w:spacing w:after="0" w:line="240" w:lineRule="auto"/>
              <w:rPr>
                <w:rFonts w:ascii="Calibri" w:eastAsia="Times New Roman" w:hAnsi="Calibri" w:cs="Calibri"/>
                <w:b/>
                <w:bCs/>
                <w:color w:val="000000"/>
              </w:rPr>
            </w:pPr>
          </w:p>
        </w:tc>
        <w:tc>
          <w:tcPr>
            <w:tcW w:w="1418" w:type="dxa"/>
            <w:shd w:val="clear" w:color="auto" w:fill="auto"/>
            <w:noWrap/>
          </w:tcPr>
          <w:p w14:paraId="5F6B180C" w14:textId="1966731B" w:rsidR="00121A42" w:rsidRPr="00EF33B3" w:rsidRDefault="00121A42" w:rsidP="00121A42">
            <w:pPr>
              <w:spacing w:after="0" w:line="240" w:lineRule="auto"/>
              <w:rPr>
                <w:rFonts w:ascii="Times New Roman" w:eastAsia="Times New Roman" w:hAnsi="Times New Roman" w:cs="Times New Roman"/>
                <w:sz w:val="20"/>
                <w:szCs w:val="20"/>
              </w:rPr>
            </w:pPr>
            <w:r w:rsidRPr="004F0DBE">
              <w:t>$262,449</w:t>
            </w:r>
          </w:p>
        </w:tc>
      </w:tr>
      <w:tr w:rsidR="00121A42" w:rsidRPr="00EF33B3" w14:paraId="6DEBFBB5" w14:textId="77777777" w:rsidTr="001A5030">
        <w:trPr>
          <w:trHeight w:val="293"/>
        </w:trPr>
        <w:tc>
          <w:tcPr>
            <w:tcW w:w="2008" w:type="dxa"/>
            <w:gridSpan w:val="2"/>
            <w:shd w:val="clear" w:color="auto" w:fill="auto"/>
            <w:noWrap/>
          </w:tcPr>
          <w:p w14:paraId="01F503E4" w14:textId="1AE24341" w:rsidR="00121A42" w:rsidRPr="00EF33B3" w:rsidRDefault="00121A42" w:rsidP="00121A42">
            <w:pPr>
              <w:spacing w:after="0" w:line="240" w:lineRule="auto"/>
              <w:rPr>
                <w:rFonts w:ascii="Calibri" w:eastAsia="Times New Roman" w:hAnsi="Calibri" w:cs="Calibri"/>
                <w:b/>
                <w:bCs/>
                <w:color w:val="000000"/>
              </w:rPr>
            </w:pPr>
            <w:r w:rsidRPr="004F0DBE">
              <w:lastRenderedPageBreak/>
              <w:t xml:space="preserve">Fundraising </w:t>
            </w:r>
          </w:p>
        </w:tc>
        <w:tc>
          <w:tcPr>
            <w:tcW w:w="2819" w:type="dxa"/>
            <w:shd w:val="clear" w:color="auto" w:fill="auto"/>
            <w:noWrap/>
          </w:tcPr>
          <w:p w14:paraId="2FA2ED5D" w14:textId="2F6E5001" w:rsidR="00121A42" w:rsidRPr="00EF33B3" w:rsidRDefault="00121A42" w:rsidP="00121A42">
            <w:pPr>
              <w:spacing w:after="0" w:line="240" w:lineRule="auto"/>
              <w:rPr>
                <w:rFonts w:ascii="Calibri" w:eastAsia="Times New Roman" w:hAnsi="Calibri" w:cs="Calibri"/>
                <w:b/>
                <w:bCs/>
                <w:color w:val="000000"/>
              </w:rPr>
            </w:pPr>
          </w:p>
        </w:tc>
        <w:tc>
          <w:tcPr>
            <w:tcW w:w="1418" w:type="dxa"/>
            <w:shd w:val="clear" w:color="auto" w:fill="auto"/>
            <w:noWrap/>
          </w:tcPr>
          <w:p w14:paraId="1878D0B9" w14:textId="0A5AA4A2" w:rsidR="00121A42" w:rsidRPr="00EF33B3" w:rsidRDefault="00121A42" w:rsidP="00121A42">
            <w:pPr>
              <w:spacing w:after="0" w:line="240" w:lineRule="auto"/>
              <w:rPr>
                <w:rFonts w:ascii="Times New Roman" w:eastAsia="Times New Roman" w:hAnsi="Times New Roman" w:cs="Times New Roman"/>
                <w:sz w:val="20"/>
                <w:szCs w:val="20"/>
              </w:rPr>
            </w:pPr>
            <w:r w:rsidRPr="004F0DBE">
              <w:t>$272</w:t>
            </w:r>
          </w:p>
        </w:tc>
      </w:tr>
      <w:tr w:rsidR="00121A42" w:rsidRPr="00EF33B3" w14:paraId="5EDFB321" w14:textId="77777777" w:rsidTr="001A5030">
        <w:trPr>
          <w:trHeight w:val="285"/>
        </w:trPr>
        <w:tc>
          <w:tcPr>
            <w:tcW w:w="1786" w:type="dxa"/>
            <w:shd w:val="clear" w:color="auto" w:fill="auto"/>
            <w:noWrap/>
            <w:vAlign w:val="bottom"/>
            <w:hideMark/>
          </w:tcPr>
          <w:p w14:paraId="2D9E6437" w14:textId="77777777" w:rsidR="00121A42" w:rsidRPr="00EF33B3" w:rsidRDefault="00121A42" w:rsidP="00C12DCE">
            <w:pPr>
              <w:spacing w:after="0" w:line="240" w:lineRule="auto"/>
              <w:rPr>
                <w:rFonts w:ascii="Times New Roman" w:eastAsia="Times New Roman" w:hAnsi="Times New Roman" w:cs="Times New Roman"/>
                <w:sz w:val="20"/>
                <w:szCs w:val="20"/>
              </w:rPr>
            </w:pPr>
          </w:p>
        </w:tc>
        <w:tc>
          <w:tcPr>
            <w:tcW w:w="3041" w:type="dxa"/>
            <w:gridSpan w:val="2"/>
            <w:shd w:val="clear" w:color="auto" w:fill="auto"/>
            <w:noWrap/>
            <w:hideMark/>
          </w:tcPr>
          <w:p w14:paraId="307768D3" w14:textId="0FB2E21D" w:rsidR="00121A42" w:rsidRPr="00121A42" w:rsidRDefault="00121A42" w:rsidP="00C12DCE">
            <w:pPr>
              <w:spacing w:after="0" w:line="240" w:lineRule="auto"/>
              <w:rPr>
                <w:rFonts w:ascii="Calibri" w:eastAsia="Times New Roman" w:hAnsi="Calibri" w:cs="Calibri"/>
                <w:b/>
                <w:bCs/>
                <w:color w:val="000000"/>
                <w:u w:val="single"/>
              </w:rPr>
            </w:pPr>
            <w:r w:rsidRPr="00121A42">
              <w:rPr>
                <w:b/>
                <w:bCs/>
                <w:u w:val="single"/>
              </w:rPr>
              <w:t xml:space="preserve">Total </w:t>
            </w:r>
            <w:r>
              <w:rPr>
                <w:b/>
                <w:bCs/>
                <w:u w:val="single"/>
              </w:rPr>
              <w:t>Expenses</w:t>
            </w:r>
            <w:r w:rsidRPr="00121A42">
              <w:rPr>
                <w:b/>
                <w:bCs/>
                <w:u w:val="single"/>
              </w:rPr>
              <w:t xml:space="preserve"> </w:t>
            </w:r>
          </w:p>
        </w:tc>
        <w:tc>
          <w:tcPr>
            <w:tcW w:w="1418" w:type="dxa"/>
            <w:shd w:val="clear" w:color="auto" w:fill="auto"/>
            <w:noWrap/>
            <w:hideMark/>
          </w:tcPr>
          <w:p w14:paraId="6FFD2E22" w14:textId="1E7B2547" w:rsidR="00121A42" w:rsidRPr="00121A42" w:rsidRDefault="00121A42" w:rsidP="00C12DCE">
            <w:pPr>
              <w:spacing w:after="0" w:line="240" w:lineRule="auto"/>
              <w:jc w:val="right"/>
              <w:rPr>
                <w:rFonts w:ascii="Calibri" w:eastAsia="Times New Roman" w:hAnsi="Calibri" w:cs="Calibri"/>
                <w:b/>
                <w:bCs/>
                <w:color w:val="000000"/>
                <w:u w:val="single"/>
              </w:rPr>
            </w:pPr>
            <w:r w:rsidRPr="00121A42">
              <w:rPr>
                <w:b/>
                <w:bCs/>
                <w:u w:val="single"/>
              </w:rPr>
              <w:t>$1,496,734</w:t>
            </w:r>
          </w:p>
        </w:tc>
      </w:tr>
    </w:tbl>
    <w:p w14:paraId="6AB2D395" w14:textId="77777777" w:rsidR="00121A42" w:rsidRDefault="00121A42" w:rsidP="00C2518C"/>
    <w:p w14:paraId="40A4E292" w14:textId="77777777" w:rsidR="00C2518C" w:rsidRDefault="00C2518C" w:rsidP="00C2518C">
      <w:pPr>
        <w:pStyle w:val="Heading2"/>
      </w:pPr>
    </w:p>
    <w:p w14:paraId="1094C2D3" w14:textId="77777777" w:rsidR="00C2518C" w:rsidRDefault="00C2518C" w:rsidP="00C2518C">
      <w:pPr>
        <w:pStyle w:val="Heading2"/>
      </w:pPr>
      <w:r>
        <w:t>10 Years of VCB’s Annual Income</w:t>
      </w:r>
    </w:p>
    <w:p w14:paraId="3602CC94" w14:textId="77777777" w:rsidR="00C2518C" w:rsidRDefault="00C2518C" w:rsidP="00C2518C">
      <w:pPr>
        <w:pStyle w:val="Heading2"/>
      </w:pPr>
    </w:p>
    <w:tbl>
      <w:tblPr>
        <w:tblW w:w="2140" w:type="dxa"/>
        <w:tblLook w:val="04A0" w:firstRow="1" w:lastRow="0" w:firstColumn="1" w:lastColumn="0" w:noHBand="0" w:noVBand="1"/>
      </w:tblPr>
      <w:tblGrid>
        <w:gridCol w:w="1120"/>
        <w:gridCol w:w="1107"/>
      </w:tblGrid>
      <w:tr w:rsidR="00C2518C" w:rsidRPr="00B216D8" w14:paraId="72B1E175" w14:textId="77777777" w:rsidTr="00C12DCE">
        <w:trPr>
          <w:trHeight w:val="285"/>
        </w:trPr>
        <w:tc>
          <w:tcPr>
            <w:tcW w:w="1120" w:type="dxa"/>
            <w:tcBorders>
              <w:top w:val="nil"/>
              <w:left w:val="nil"/>
              <w:bottom w:val="nil"/>
              <w:right w:val="nil"/>
            </w:tcBorders>
            <w:shd w:val="clear" w:color="auto" w:fill="auto"/>
            <w:noWrap/>
            <w:vAlign w:val="bottom"/>
            <w:hideMark/>
          </w:tcPr>
          <w:p w14:paraId="246F1EE3" w14:textId="77777777" w:rsidR="00C2518C" w:rsidRPr="00B216D8" w:rsidRDefault="00C2518C" w:rsidP="00C12DCE">
            <w:pPr>
              <w:spacing w:after="0" w:line="240" w:lineRule="auto"/>
              <w:rPr>
                <w:rFonts w:ascii="Calibri" w:eastAsia="Times New Roman" w:hAnsi="Calibri" w:cs="Calibri"/>
                <w:b/>
                <w:bCs/>
                <w:color w:val="000000"/>
                <w:sz w:val="28"/>
                <w:szCs w:val="28"/>
              </w:rPr>
            </w:pPr>
            <w:r w:rsidRPr="00B216D8">
              <w:rPr>
                <w:rFonts w:ascii="Calibri" w:eastAsia="Times New Roman" w:hAnsi="Calibri" w:cs="Calibri"/>
                <w:b/>
                <w:bCs/>
                <w:color w:val="000000"/>
                <w:sz w:val="28"/>
                <w:szCs w:val="28"/>
              </w:rPr>
              <w:t>Year</w:t>
            </w:r>
          </w:p>
        </w:tc>
        <w:tc>
          <w:tcPr>
            <w:tcW w:w="1020" w:type="dxa"/>
            <w:tcBorders>
              <w:top w:val="nil"/>
              <w:left w:val="nil"/>
              <w:bottom w:val="nil"/>
              <w:right w:val="nil"/>
            </w:tcBorders>
            <w:shd w:val="clear" w:color="auto" w:fill="auto"/>
            <w:noWrap/>
            <w:vAlign w:val="bottom"/>
            <w:hideMark/>
          </w:tcPr>
          <w:p w14:paraId="5600AB20" w14:textId="77777777" w:rsidR="00C2518C" w:rsidRPr="00B216D8" w:rsidRDefault="00C2518C" w:rsidP="00C12DCE">
            <w:pPr>
              <w:spacing w:after="0" w:line="240" w:lineRule="auto"/>
              <w:rPr>
                <w:rFonts w:ascii="Calibri" w:eastAsia="Times New Roman" w:hAnsi="Calibri" w:cs="Calibri"/>
                <w:b/>
                <w:bCs/>
                <w:color w:val="000000"/>
                <w:sz w:val="28"/>
                <w:szCs w:val="28"/>
              </w:rPr>
            </w:pPr>
            <w:r w:rsidRPr="00B216D8">
              <w:rPr>
                <w:rFonts w:ascii="Calibri" w:eastAsia="Times New Roman" w:hAnsi="Calibri" w:cs="Calibri"/>
                <w:b/>
                <w:bCs/>
                <w:color w:val="000000"/>
                <w:sz w:val="28"/>
                <w:szCs w:val="28"/>
              </w:rPr>
              <w:t>Income</w:t>
            </w:r>
          </w:p>
        </w:tc>
      </w:tr>
      <w:tr w:rsidR="00C2518C" w:rsidRPr="00B216D8" w14:paraId="73982843" w14:textId="77777777" w:rsidTr="00C12DCE">
        <w:trPr>
          <w:trHeight w:val="285"/>
        </w:trPr>
        <w:tc>
          <w:tcPr>
            <w:tcW w:w="1120" w:type="dxa"/>
            <w:tcBorders>
              <w:top w:val="nil"/>
              <w:left w:val="nil"/>
              <w:bottom w:val="nil"/>
              <w:right w:val="nil"/>
            </w:tcBorders>
            <w:shd w:val="clear" w:color="auto" w:fill="auto"/>
            <w:noWrap/>
            <w:vAlign w:val="bottom"/>
            <w:hideMark/>
          </w:tcPr>
          <w:p w14:paraId="2D2348DB"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12-13</w:t>
            </w:r>
          </w:p>
        </w:tc>
        <w:tc>
          <w:tcPr>
            <w:tcW w:w="1020" w:type="dxa"/>
            <w:tcBorders>
              <w:top w:val="nil"/>
              <w:left w:val="nil"/>
              <w:bottom w:val="nil"/>
              <w:right w:val="nil"/>
            </w:tcBorders>
            <w:shd w:val="clear" w:color="auto" w:fill="auto"/>
            <w:noWrap/>
            <w:vAlign w:val="bottom"/>
            <w:hideMark/>
          </w:tcPr>
          <w:p w14:paraId="3DAEBD12"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275,259</w:t>
            </w:r>
          </w:p>
        </w:tc>
      </w:tr>
      <w:tr w:rsidR="00C2518C" w:rsidRPr="00B216D8" w14:paraId="4BA51AE1" w14:textId="77777777" w:rsidTr="00C12DCE">
        <w:trPr>
          <w:trHeight w:val="285"/>
        </w:trPr>
        <w:tc>
          <w:tcPr>
            <w:tcW w:w="1120" w:type="dxa"/>
            <w:tcBorders>
              <w:top w:val="nil"/>
              <w:left w:val="nil"/>
              <w:bottom w:val="nil"/>
              <w:right w:val="nil"/>
            </w:tcBorders>
            <w:shd w:val="clear" w:color="auto" w:fill="auto"/>
            <w:noWrap/>
            <w:vAlign w:val="bottom"/>
            <w:hideMark/>
          </w:tcPr>
          <w:p w14:paraId="2F4D928B"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13-14</w:t>
            </w:r>
          </w:p>
        </w:tc>
        <w:tc>
          <w:tcPr>
            <w:tcW w:w="1020" w:type="dxa"/>
            <w:tcBorders>
              <w:top w:val="nil"/>
              <w:left w:val="nil"/>
              <w:bottom w:val="nil"/>
              <w:right w:val="nil"/>
            </w:tcBorders>
            <w:shd w:val="clear" w:color="auto" w:fill="auto"/>
            <w:noWrap/>
            <w:vAlign w:val="bottom"/>
            <w:hideMark/>
          </w:tcPr>
          <w:p w14:paraId="4DFBB03E"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286,020</w:t>
            </w:r>
          </w:p>
        </w:tc>
      </w:tr>
      <w:tr w:rsidR="00C2518C" w:rsidRPr="00B216D8" w14:paraId="0BE58B10" w14:textId="77777777" w:rsidTr="00C12DCE">
        <w:trPr>
          <w:trHeight w:val="285"/>
        </w:trPr>
        <w:tc>
          <w:tcPr>
            <w:tcW w:w="1120" w:type="dxa"/>
            <w:tcBorders>
              <w:top w:val="nil"/>
              <w:left w:val="nil"/>
              <w:bottom w:val="nil"/>
              <w:right w:val="nil"/>
            </w:tcBorders>
            <w:shd w:val="clear" w:color="auto" w:fill="auto"/>
            <w:noWrap/>
            <w:vAlign w:val="bottom"/>
            <w:hideMark/>
          </w:tcPr>
          <w:p w14:paraId="18051A35"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14-15</w:t>
            </w:r>
          </w:p>
        </w:tc>
        <w:tc>
          <w:tcPr>
            <w:tcW w:w="1020" w:type="dxa"/>
            <w:tcBorders>
              <w:top w:val="nil"/>
              <w:left w:val="nil"/>
              <w:bottom w:val="nil"/>
              <w:right w:val="nil"/>
            </w:tcBorders>
            <w:shd w:val="clear" w:color="auto" w:fill="auto"/>
            <w:noWrap/>
            <w:vAlign w:val="bottom"/>
            <w:hideMark/>
          </w:tcPr>
          <w:p w14:paraId="16CB2F62"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392,693</w:t>
            </w:r>
          </w:p>
        </w:tc>
      </w:tr>
      <w:tr w:rsidR="00C2518C" w:rsidRPr="00B216D8" w14:paraId="33DBE2C5" w14:textId="77777777" w:rsidTr="00C12DCE">
        <w:trPr>
          <w:trHeight w:val="285"/>
        </w:trPr>
        <w:tc>
          <w:tcPr>
            <w:tcW w:w="1120" w:type="dxa"/>
            <w:tcBorders>
              <w:top w:val="nil"/>
              <w:left w:val="nil"/>
              <w:bottom w:val="nil"/>
              <w:right w:val="nil"/>
            </w:tcBorders>
            <w:shd w:val="clear" w:color="auto" w:fill="auto"/>
            <w:noWrap/>
            <w:vAlign w:val="bottom"/>
            <w:hideMark/>
          </w:tcPr>
          <w:p w14:paraId="00148ABB"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15-16</w:t>
            </w:r>
          </w:p>
        </w:tc>
        <w:tc>
          <w:tcPr>
            <w:tcW w:w="1020" w:type="dxa"/>
            <w:tcBorders>
              <w:top w:val="nil"/>
              <w:left w:val="nil"/>
              <w:bottom w:val="nil"/>
              <w:right w:val="nil"/>
            </w:tcBorders>
            <w:shd w:val="clear" w:color="auto" w:fill="auto"/>
            <w:noWrap/>
            <w:vAlign w:val="bottom"/>
            <w:hideMark/>
          </w:tcPr>
          <w:p w14:paraId="2F1AD7F7"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736,955</w:t>
            </w:r>
          </w:p>
        </w:tc>
      </w:tr>
      <w:tr w:rsidR="00C2518C" w:rsidRPr="00B216D8" w14:paraId="1251438D" w14:textId="77777777" w:rsidTr="00C12DCE">
        <w:trPr>
          <w:trHeight w:val="285"/>
        </w:trPr>
        <w:tc>
          <w:tcPr>
            <w:tcW w:w="1120" w:type="dxa"/>
            <w:tcBorders>
              <w:top w:val="nil"/>
              <w:left w:val="nil"/>
              <w:bottom w:val="nil"/>
              <w:right w:val="nil"/>
            </w:tcBorders>
            <w:shd w:val="clear" w:color="auto" w:fill="auto"/>
            <w:noWrap/>
            <w:vAlign w:val="bottom"/>
            <w:hideMark/>
          </w:tcPr>
          <w:p w14:paraId="15975DFC"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16-17</w:t>
            </w:r>
          </w:p>
        </w:tc>
        <w:tc>
          <w:tcPr>
            <w:tcW w:w="1020" w:type="dxa"/>
            <w:tcBorders>
              <w:top w:val="nil"/>
              <w:left w:val="nil"/>
              <w:bottom w:val="nil"/>
              <w:right w:val="nil"/>
            </w:tcBorders>
            <w:shd w:val="clear" w:color="auto" w:fill="auto"/>
            <w:noWrap/>
            <w:vAlign w:val="bottom"/>
            <w:hideMark/>
          </w:tcPr>
          <w:p w14:paraId="6AFD4BC9"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725,635</w:t>
            </w:r>
          </w:p>
        </w:tc>
      </w:tr>
      <w:tr w:rsidR="00C2518C" w:rsidRPr="00B216D8" w14:paraId="70827C6B" w14:textId="77777777" w:rsidTr="00C12DCE">
        <w:trPr>
          <w:trHeight w:val="285"/>
        </w:trPr>
        <w:tc>
          <w:tcPr>
            <w:tcW w:w="1120" w:type="dxa"/>
            <w:tcBorders>
              <w:top w:val="nil"/>
              <w:left w:val="nil"/>
              <w:bottom w:val="nil"/>
              <w:right w:val="nil"/>
            </w:tcBorders>
            <w:shd w:val="clear" w:color="auto" w:fill="auto"/>
            <w:noWrap/>
            <w:vAlign w:val="bottom"/>
            <w:hideMark/>
          </w:tcPr>
          <w:p w14:paraId="5299307E"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17-18</w:t>
            </w:r>
          </w:p>
        </w:tc>
        <w:tc>
          <w:tcPr>
            <w:tcW w:w="1020" w:type="dxa"/>
            <w:tcBorders>
              <w:top w:val="nil"/>
              <w:left w:val="nil"/>
              <w:bottom w:val="nil"/>
              <w:right w:val="nil"/>
            </w:tcBorders>
            <w:shd w:val="clear" w:color="auto" w:fill="auto"/>
            <w:noWrap/>
            <w:vAlign w:val="bottom"/>
            <w:hideMark/>
          </w:tcPr>
          <w:p w14:paraId="59E63B6C"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623,980</w:t>
            </w:r>
          </w:p>
        </w:tc>
      </w:tr>
      <w:tr w:rsidR="00C2518C" w:rsidRPr="00B216D8" w14:paraId="117B97BC" w14:textId="77777777" w:rsidTr="00C12DCE">
        <w:trPr>
          <w:trHeight w:val="285"/>
        </w:trPr>
        <w:tc>
          <w:tcPr>
            <w:tcW w:w="1120" w:type="dxa"/>
            <w:tcBorders>
              <w:top w:val="nil"/>
              <w:left w:val="nil"/>
              <w:bottom w:val="nil"/>
              <w:right w:val="nil"/>
            </w:tcBorders>
            <w:shd w:val="clear" w:color="auto" w:fill="auto"/>
            <w:noWrap/>
            <w:vAlign w:val="bottom"/>
            <w:hideMark/>
          </w:tcPr>
          <w:p w14:paraId="58EBFB12"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18-19</w:t>
            </w:r>
          </w:p>
        </w:tc>
        <w:tc>
          <w:tcPr>
            <w:tcW w:w="1020" w:type="dxa"/>
            <w:tcBorders>
              <w:top w:val="nil"/>
              <w:left w:val="nil"/>
              <w:bottom w:val="nil"/>
              <w:right w:val="nil"/>
            </w:tcBorders>
            <w:shd w:val="clear" w:color="auto" w:fill="auto"/>
            <w:noWrap/>
            <w:vAlign w:val="bottom"/>
            <w:hideMark/>
          </w:tcPr>
          <w:p w14:paraId="700BD873"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841,264</w:t>
            </w:r>
          </w:p>
        </w:tc>
      </w:tr>
      <w:tr w:rsidR="00C2518C" w:rsidRPr="00B216D8" w14:paraId="6F3F8ED7" w14:textId="77777777" w:rsidTr="00C12DCE">
        <w:trPr>
          <w:trHeight w:val="285"/>
        </w:trPr>
        <w:tc>
          <w:tcPr>
            <w:tcW w:w="1120" w:type="dxa"/>
            <w:tcBorders>
              <w:top w:val="nil"/>
              <w:left w:val="nil"/>
              <w:bottom w:val="nil"/>
              <w:right w:val="nil"/>
            </w:tcBorders>
            <w:shd w:val="clear" w:color="auto" w:fill="auto"/>
            <w:noWrap/>
            <w:vAlign w:val="bottom"/>
            <w:hideMark/>
          </w:tcPr>
          <w:p w14:paraId="4D78C6C3"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19-20</w:t>
            </w:r>
          </w:p>
        </w:tc>
        <w:tc>
          <w:tcPr>
            <w:tcW w:w="1020" w:type="dxa"/>
            <w:tcBorders>
              <w:top w:val="nil"/>
              <w:left w:val="nil"/>
              <w:bottom w:val="nil"/>
              <w:right w:val="nil"/>
            </w:tcBorders>
            <w:shd w:val="clear" w:color="auto" w:fill="auto"/>
            <w:noWrap/>
            <w:vAlign w:val="bottom"/>
            <w:hideMark/>
          </w:tcPr>
          <w:p w14:paraId="2D6DFAE9"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1,029,726</w:t>
            </w:r>
          </w:p>
        </w:tc>
      </w:tr>
      <w:tr w:rsidR="00C2518C" w:rsidRPr="00B216D8" w14:paraId="37C8176A" w14:textId="77777777" w:rsidTr="00C12DCE">
        <w:trPr>
          <w:trHeight w:val="285"/>
        </w:trPr>
        <w:tc>
          <w:tcPr>
            <w:tcW w:w="1120" w:type="dxa"/>
            <w:tcBorders>
              <w:top w:val="nil"/>
              <w:left w:val="nil"/>
              <w:bottom w:val="nil"/>
              <w:right w:val="nil"/>
            </w:tcBorders>
            <w:shd w:val="clear" w:color="auto" w:fill="auto"/>
            <w:noWrap/>
            <w:vAlign w:val="bottom"/>
            <w:hideMark/>
          </w:tcPr>
          <w:p w14:paraId="7457B1E8"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20-21</w:t>
            </w:r>
          </w:p>
        </w:tc>
        <w:tc>
          <w:tcPr>
            <w:tcW w:w="1020" w:type="dxa"/>
            <w:tcBorders>
              <w:top w:val="nil"/>
              <w:left w:val="nil"/>
              <w:bottom w:val="nil"/>
              <w:right w:val="nil"/>
            </w:tcBorders>
            <w:shd w:val="clear" w:color="auto" w:fill="auto"/>
            <w:noWrap/>
            <w:vAlign w:val="bottom"/>
            <w:hideMark/>
          </w:tcPr>
          <w:p w14:paraId="63510F62" w14:textId="77777777"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1,597,262</w:t>
            </w:r>
          </w:p>
        </w:tc>
      </w:tr>
      <w:tr w:rsidR="00C2518C" w:rsidRPr="00B216D8" w14:paraId="2AC13ACE" w14:textId="77777777" w:rsidTr="00C12DCE">
        <w:trPr>
          <w:trHeight w:val="285"/>
        </w:trPr>
        <w:tc>
          <w:tcPr>
            <w:tcW w:w="1120" w:type="dxa"/>
            <w:tcBorders>
              <w:top w:val="nil"/>
              <w:left w:val="nil"/>
              <w:bottom w:val="nil"/>
              <w:right w:val="nil"/>
            </w:tcBorders>
            <w:shd w:val="clear" w:color="auto" w:fill="auto"/>
            <w:noWrap/>
            <w:vAlign w:val="bottom"/>
            <w:hideMark/>
          </w:tcPr>
          <w:p w14:paraId="12371E2B" w14:textId="77777777" w:rsidR="00C2518C" w:rsidRPr="00B216D8" w:rsidRDefault="00C2518C" w:rsidP="00C12DCE">
            <w:pPr>
              <w:spacing w:after="0" w:line="240" w:lineRule="auto"/>
              <w:rPr>
                <w:rFonts w:ascii="Calibri" w:eastAsia="Times New Roman" w:hAnsi="Calibri" w:cs="Calibri"/>
                <w:color w:val="000000"/>
              </w:rPr>
            </w:pPr>
            <w:r w:rsidRPr="00B216D8">
              <w:rPr>
                <w:rFonts w:ascii="Calibri" w:eastAsia="Times New Roman" w:hAnsi="Calibri" w:cs="Calibri"/>
                <w:color w:val="000000"/>
              </w:rPr>
              <w:t>21-22</w:t>
            </w:r>
          </w:p>
        </w:tc>
        <w:tc>
          <w:tcPr>
            <w:tcW w:w="1020" w:type="dxa"/>
            <w:tcBorders>
              <w:top w:val="nil"/>
              <w:left w:val="nil"/>
              <w:bottom w:val="nil"/>
              <w:right w:val="nil"/>
            </w:tcBorders>
            <w:shd w:val="clear" w:color="auto" w:fill="auto"/>
            <w:noWrap/>
            <w:vAlign w:val="bottom"/>
            <w:hideMark/>
          </w:tcPr>
          <w:p w14:paraId="678D173C" w14:textId="7068A749" w:rsidR="00C2518C" w:rsidRPr="00B216D8" w:rsidRDefault="00C2518C" w:rsidP="00C12DCE">
            <w:pPr>
              <w:spacing w:after="0" w:line="240" w:lineRule="auto"/>
              <w:jc w:val="right"/>
              <w:rPr>
                <w:rFonts w:ascii="Calibri" w:eastAsia="Times New Roman" w:hAnsi="Calibri" w:cs="Calibri"/>
                <w:color w:val="000000"/>
              </w:rPr>
            </w:pPr>
            <w:r w:rsidRPr="00B216D8">
              <w:rPr>
                <w:rFonts w:ascii="Calibri" w:eastAsia="Times New Roman" w:hAnsi="Calibri" w:cs="Calibri"/>
                <w:color w:val="000000"/>
              </w:rPr>
              <w:t>1,5</w:t>
            </w:r>
            <w:r w:rsidR="00121A42">
              <w:rPr>
                <w:rFonts w:ascii="Calibri" w:eastAsia="Times New Roman" w:hAnsi="Calibri" w:cs="Calibri"/>
                <w:color w:val="000000"/>
              </w:rPr>
              <w:t>89</w:t>
            </w:r>
            <w:r w:rsidRPr="00B216D8">
              <w:rPr>
                <w:rFonts w:ascii="Calibri" w:eastAsia="Times New Roman" w:hAnsi="Calibri" w:cs="Calibri"/>
                <w:color w:val="000000"/>
              </w:rPr>
              <w:t>,</w:t>
            </w:r>
            <w:r w:rsidR="00121A42">
              <w:rPr>
                <w:rFonts w:ascii="Calibri" w:eastAsia="Times New Roman" w:hAnsi="Calibri" w:cs="Calibri"/>
                <w:color w:val="000000"/>
              </w:rPr>
              <w:t>769</w:t>
            </w:r>
          </w:p>
        </w:tc>
      </w:tr>
    </w:tbl>
    <w:p w14:paraId="33E54C3B" w14:textId="1827B2A0" w:rsidR="000F2CC8" w:rsidRDefault="000F2CC8" w:rsidP="000F2CC8"/>
    <w:p w14:paraId="0026392D" w14:textId="41DD0288" w:rsidR="000F2CC8" w:rsidRDefault="000F2CC8" w:rsidP="000F2CC8">
      <w:pPr>
        <w:pStyle w:val="Heading1"/>
      </w:pPr>
      <w:r>
        <w:t>BY THE NUMBERS</w:t>
      </w:r>
    </w:p>
    <w:p w14:paraId="4424C0F9" w14:textId="3E9059AC" w:rsidR="000F2CC8" w:rsidRDefault="000F2CC8" w:rsidP="000F2CC8">
      <w:r>
        <w:t>447 clients served.</w:t>
      </w:r>
    </w:p>
    <w:p w14:paraId="4AE6AE98" w14:textId="3671F963" w:rsidR="000F2CC8" w:rsidRDefault="000F2CC8" w:rsidP="000F2CC8">
      <w:pPr>
        <w:pStyle w:val="Heading2"/>
      </w:pPr>
      <w:r>
        <w:t>Client Ethnicity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810"/>
      </w:tblGrid>
      <w:tr w:rsidR="000F2CC8" w14:paraId="6E28F2B3" w14:textId="77777777" w:rsidTr="000F2CC8">
        <w:tc>
          <w:tcPr>
            <w:tcW w:w="1255" w:type="dxa"/>
          </w:tcPr>
          <w:p w14:paraId="22E7B1A0" w14:textId="6617273F" w:rsidR="000F2CC8" w:rsidRDefault="000F2CC8" w:rsidP="000F2CC8">
            <w:r w:rsidRPr="00D02E37">
              <w:t>Black</w:t>
            </w:r>
          </w:p>
        </w:tc>
        <w:tc>
          <w:tcPr>
            <w:tcW w:w="810" w:type="dxa"/>
          </w:tcPr>
          <w:p w14:paraId="2D95FD73" w14:textId="214981DE" w:rsidR="000F2CC8" w:rsidRDefault="000F2CC8" w:rsidP="000F2CC8">
            <w:r w:rsidRPr="00D02E37">
              <w:t>7%</w:t>
            </w:r>
          </w:p>
        </w:tc>
      </w:tr>
      <w:tr w:rsidR="000F2CC8" w14:paraId="3BBCB451" w14:textId="77777777" w:rsidTr="000F2CC8">
        <w:tc>
          <w:tcPr>
            <w:tcW w:w="1255" w:type="dxa"/>
          </w:tcPr>
          <w:p w14:paraId="33F3B9A2" w14:textId="1C07DD4B" w:rsidR="000F2CC8" w:rsidRDefault="000F2CC8" w:rsidP="000F2CC8">
            <w:r w:rsidRPr="00D02E37">
              <w:t>Hispanic</w:t>
            </w:r>
          </w:p>
        </w:tc>
        <w:tc>
          <w:tcPr>
            <w:tcW w:w="810" w:type="dxa"/>
          </w:tcPr>
          <w:p w14:paraId="28255864" w14:textId="74C15033" w:rsidR="000F2CC8" w:rsidRDefault="000F2CC8" w:rsidP="000F2CC8">
            <w:r w:rsidRPr="00D02E37">
              <w:t>29%</w:t>
            </w:r>
          </w:p>
        </w:tc>
      </w:tr>
      <w:tr w:rsidR="000F2CC8" w14:paraId="124F2069" w14:textId="77777777" w:rsidTr="000F2CC8">
        <w:tc>
          <w:tcPr>
            <w:tcW w:w="1255" w:type="dxa"/>
          </w:tcPr>
          <w:p w14:paraId="39EADAFF" w14:textId="372E9915" w:rsidR="000F2CC8" w:rsidRDefault="000F2CC8" w:rsidP="000F2CC8">
            <w:r w:rsidRPr="00D02E37">
              <w:t>White</w:t>
            </w:r>
          </w:p>
        </w:tc>
        <w:tc>
          <w:tcPr>
            <w:tcW w:w="810" w:type="dxa"/>
          </w:tcPr>
          <w:p w14:paraId="01E03B49" w14:textId="11B38B7B" w:rsidR="000F2CC8" w:rsidRDefault="000F2CC8" w:rsidP="000F2CC8">
            <w:r w:rsidRPr="00D02E37">
              <w:t>29%</w:t>
            </w:r>
          </w:p>
        </w:tc>
      </w:tr>
      <w:tr w:rsidR="000F2CC8" w14:paraId="6FF0D84E" w14:textId="77777777" w:rsidTr="000F2CC8">
        <w:tc>
          <w:tcPr>
            <w:tcW w:w="1255" w:type="dxa"/>
          </w:tcPr>
          <w:p w14:paraId="344C8288" w14:textId="2FFAA0C9" w:rsidR="000F2CC8" w:rsidRDefault="000F2CC8" w:rsidP="000F2CC8">
            <w:r w:rsidRPr="00D02E37">
              <w:t>Unknown/Other</w:t>
            </w:r>
          </w:p>
        </w:tc>
        <w:tc>
          <w:tcPr>
            <w:tcW w:w="810" w:type="dxa"/>
          </w:tcPr>
          <w:p w14:paraId="76387BC3" w14:textId="3CF71437" w:rsidR="000F2CC8" w:rsidRDefault="000F2CC8" w:rsidP="000F2CC8">
            <w:r w:rsidRPr="00D02E37">
              <w:t>40%</w:t>
            </w:r>
          </w:p>
        </w:tc>
      </w:tr>
      <w:tr w:rsidR="000F2CC8" w14:paraId="7CF95FBE" w14:textId="77777777" w:rsidTr="000F2CC8">
        <w:tc>
          <w:tcPr>
            <w:tcW w:w="1255" w:type="dxa"/>
          </w:tcPr>
          <w:p w14:paraId="00F2BD62" w14:textId="6DCF499C" w:rsidR="000F2CC8" w:rsidRDefault="000F2CC8" w:rsidP="000F2CC8">
            <w:r w:rsidRPr="00D02E37">
              <w:t>Black</w:t>
            </w:r>
          </w:p>
        </w:tc>
        <w:tc>
          <w:tcPr>
            <w:tcW w:w="810" w:type="dxa"/>
          </w:tcPr>
          <w:p w14:paraId="7B5813B7" w14:textId="4447D863" w:rsidR="000F2CC8" w:rsidRDefault="000F2CC8" w:rsidP="000F2CC8">
            <w:r w:rsidRPr="00D02E37">
              <w:t>7%</w:t>
            </w:r>
          </w:p>
        </w:tc>
      </w:tr>
    </w:tbl>
    <w:p w14:paraId="15EC692B" w14:textId="77777777" w:rsidR="000F2CC8" w:rsidRDefault="000F2CC8" w:rsidP="000F2CC8"/>
    <w:p w14:paraId="5F9ED54C" w14:textId="27BA2B6E" w:rsidR="000F2CC8" w:rsidRDefault="000F2CC8" w:rsidP="000F2CC8">
      <w:pPr>
        <w:pStyle w:val="Heading2"/>
      </w:pPr>
      <w:r>
        <w:t>Client County of Residence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810"/>
      </w:tblGrid>
      <w:tr w:rsidR="000F2CC8" w14:paraId="0A346ED1" w14:textId="77777777" w:rsidTr="000F2CC8">
        <w:tc>
          <w:tcPr>
            <w:tcW w:w="1684" w:type="dxa"/>
          </w:tcPr>
          <w:p w14:paraId="6E02E9D7" w14:textId="5C5F1F18" w:rsidR="000F2CC8" w:rsidRDefault="000F2CC8" w:rsidP="000F2CC8">
            <w:r w:rsidRPr="0069771D">
              <w:t>Madera County</w:t>
            </w:r>
          </w:p>
        </w:tc>
        <w:tc>
          <w:tcPr>
            <w:tcW w:w="810" w:type="dxa"/>
          </w:tcPr>
          <w:p w14:paraId="00D1C30D" w14:textId="2C88ADE2" w:rsidR="000F2CC8" w:rsidRDefault="000F2CC8" w:rsidP="000F2CC8">
            <w:r w:rsidRPr="0069771D">
              <w:t>3.6%</w:t>
            </w:r>
          </w:p>
        </w:tc>
      </w:tr>
      <w:tr w:rsidR="000F2CC8" w14:paraId="28899AD1" w14:textId="77777777" w:rsidTr="000F2CC8">
        <w:tc>
          <w:tcPr>
            <w:tcW w:w="1684" w:type="dxa"/>
          </w:tcPr>
          <w:p w14:paraId="188BF809" w14:textId="1CCE6307" w:rsidR="000F2CC8" w:rsidRDefault="000F2CC8" w:rsidP="000F2CC8">
            <w:r w:rsidRPr="0069771D">
              <w:t>Fresno County</w:t>
            </w:r>
            <w:r>
              <w:t xml:space="preserve"> </w:t>
            </w:r>
          </w:p>
        </w:tc>
        <w:tc>
          <w:tcPr>
            <w:tcW w:w="810" w:type="dxa"/>
          </w:tcPr>
          <w:p w14:paraId="4CB72169" w14:textId="34B9BFF0" w:rsidR="000F2CC8" w:rsidRDefault="000F2CC8" w:rsidP="000F2CC8">
            <w:r w:rsidRPr="0069771D">
              <w:t>56.6%</w:t>
            </w:r>
          </w:p>
        </w:tc>
      </w:tr>
      <w:tr w:rsidR="000F2CC8" w14:paraId="72E982C3" w14:textId="77777777" w:rsidTr="000F2CC8">
        <w:tc>
          <w:tcPr>
            <w:tcW w:w="1684" w:type="dxa"/>
          </w:tcPr>
          <w:p w14:paraId="420501AB" w14:textId="5479D9B0" w:rsidR="000F2CC8" w:rsidRDefault="000F2CC8" w:rsidP="000F2CC8">
            <w:r w:rsidRPr="0069771D">
              <w:t>Kings County</w:t>
            </w:r>
            <w:r>
              <w:t xml:space="preserve"> </w:t>
            </w:r>
          </w:p>
        </w:tc>
        <w:tc>
          <w:tcPr>
            <w:tcW w:w="810" w:type="dxa"/>
          </w:tcPr>
          <w:p w14:paraId="551DCA5F" w14:textId="61A12A80" w:rsidR="000F2CC8" w:rsidRDefault="000F2CC8" w:rsidP="000F2CC8">
            <w:r w:rsidRPr="0069771D">
              <w:t>7.4%</w:t>
            </w:r>
          </w:p>
        </w:tc>
      </w:tr>
      <w:tr w:rsidR="000F2CC8" w14:paraId="2F63516B" w14:textId="77777777" w:rsidTr="000F2CC8">
        <w:tc>
          <w:tcPr>
            <w:tcW w:w="1684" w:type="dxa"/>
          </w:tcPr>
          <w:p w14:paraId="034A7465" w14:textId="1A9D9690" w:rsidR="000F2CC8" w:rsidRDefault="000F2CC8" w:rsidP="000F2CC8">
            <w:r w:rsidRPr="0069771D">
              <w:t>Tulare County</w:t>
            </w:r>
            <w:r>
              <w:t xml:space="preserve"> </w:t>
            </w:r>
          </w:p>
        </w:tc>
        <w:tc>
          <w:tcPr>
            <w:tcW w:w="810" w:type="dxa"/>
          </w:tcPr>
          <w:p w14:paraId="5A5FFC6A" w14:textId="2AA5E483" w:rsidR="000F2CC8" w:rsidRDefault="000F2CC8" w:rsidP="000F2CC8">
            <w:r w:rsidRPr="0069771D">
              <w:t>12.3%</w:t>
            </w:r>
          </w:p>
        </w:tc>
      </w:tr>
      <w:tr w:rsidR="000F2CC8" w14:paraId="6E81124E" w14:textId="77777777" w:rsidTr="000F2CC8">
        <w:tc>
          <w:tcPr>
            <w:tcW w:w="1684" w:type="dxa"/>
          </w:tcPr>
          <w:p w14:paraId="1037375D" w14:textId="73A65BAD" w:rsidR="000F2CC8" w:rsidRDefault="000F2CC8" w:rsidP="000F2CC8">
            <w:r w:rsidRPr="0069771D">
              <w:t>Kern County</w:t>
            </w:r>
          </w:p>
        </w:tc>
        <w:tc>
          <w:tcPr>
            <w:tcW w:w="810" w:type="dxa"/>
          </w:tcPr>
          <w:p w14:paraId="315394D2" w14:textId="5017FBE6" w:rsidR="000F2CC8" w:rsidRDefault="000F2CC8" w:rsidP="000F2CC8">
            <w:r w:rsidRPr="0069771D">
              <w:t>15%</w:t>
            </w:r>
          </w:p>
        </w:tc>
      </w:tr>
      <w:tr w:rsidR="000F2CC8" w14:paraId="7978A99A" w14:textId="77777777" w:rsidTr="000F2CC8">
        <w:tc>
          <w:tcPr>
            <w:tcW w:w="1684" w:type="dxa"/>
          </w:tcPr>
          <w:p w14:paraId="78FE57C5" w14:textId="432790BA" w:rsidR="000F2CC8" w:rsidRPr="00D02E37" w:rsidRDefault="000F2CC8" w:rsidP="000F2CC8">
            <w:r w:rsidRPr="0069771D">
              <w:t>Other Counties</w:t>
            </w:r>
          </w:p>
        </w:tc>
        <w:tc>
          <w:tcPr>
            <w:tcW w:w="810" w:type="dxa"/>
          </w:tcPr>
          <w:p w14:paraId="507A28B6" w14:textId="1BF2F81D" w:rsidR="000F2CC8" w:rsidRPr="00D02E37" w:rsidRDefault="000F2CC8" w:rsidP="000F2CC8">
            <w:r>
              <w:t>5.1%</w:t>
            </w:r>
          </w:p>
        </w:tc>
      </w:tr>
    </w:tbl>
    <w:p w14:paraId="03E6D5FB" w14:textId="77777777" w:rsidR="000F2CC8" w:rsidRPr="000F2CC8" w:rsidRDefault="000F2CC8" w:rsidP="000F2CC8"/>
    <w:p w14:paraId="491E5F3A" w14:textId="26DF7591" w:rsidR="000F2CC8" w:rsidRDefault="000F2CC8" w:rsidP="000F2CC8">
      <w:pPr>
        <w:pStyle w:val="Heading2"/>
      </w:pPr>
      <w:r>
        <w:t>Client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810"/>
      </w:tblGrid>
      <w:tr w:rsidR="000F2CC8" w14:paraId="1D32CF49" w14:textId="77777777" w:rsidTr="000F2CC8">
        <w:tc>
          <w:tcPr>
            <w:tcW w:w="1684" w:type="dxa"/>
          </w:tcPr>
          <w:p w14:paraId="2D380A2A" w14:textId="70315E3B" w:rsidR="000F2CC8" w:rsidRDefault="000F2CC8" w:rsidP="000F2CC8">
            <w:r w:rsidRPr="006336D0">
              <w:t>Under 25</w:t>
            </w:r>
          </w:p>
        </w:tc>
        <w:tc>
          <w:tcPr>
            <w:tcW w:w="810" w:type="dxa"/>
          </w:tcPr>
          <w:p w14:paraId="59EABBC8" w14:textId="5B46C69D" w:rsidR="000F2CC8" w:rsidRDefault="000F2CC8" w:rsidP="000F2CC8">
            <w:r w:rsidRPr="006336D0">
              <w:t>6%</w:t>
            </w:r>
          </w:p>
        </w:tc>
      </w:tr>
      <w:tr w:rsidR="000F2CC8" w14:paraId="5DDCE063" w14:textId="77777777" w:rsidTr="000F2CC8">
        <w:tc>
          <w:tcPr>
            <w:tcW w:w="1684" w:type="dxa"/>
          </w:tcPr>
          <w:p w14:paraId="4146DF03" w14:textId="035ECDCD" w:rsidR="000F2CC8" w:rsidRDefault="000F2CC8" w:rsidP="000F2CC8">
            <w:r w:rsidRPr="006336D0">
              <w:t>25-49</w:t>
            </w:r>
          </w:p>
        </w:tc>
        <w:tc>
          <w:tcPr>
            <w:tcW w:w="810" w:type="dxa"/>
          </w:tcPr>
          <w:p w14:paraId="56E65878" w14:textId="7F93079D" w:rsidR="000F2CC8" w:rsidRDefault="000F2CC8" w:rsidP="000F2CC8">
            <w:r w:rsidRPr="006336D0">
              <w:t>24%</w:t>
            </w:r>
          </w:p>
        </w:tc>
      </w:tr>
      <w:tr w:rsidR="000F2CC8" w14:paraId="74E43A37" w14:textId="77777777" w:rsidTr="000F2CC8">
        <w:tc>
          <w:tcPr>
            <w:tcW w:w="1684" w:type="dxa"/>
          </w:tcPr>
          <w:p w14:paraId="7D992C46" w14:textId="50F83764" w:rsidR="000F2CC8" w:rsidRDefault="000F2CC8" w:rsidP="000F2CC8">
            <w:r w:rsidRPr="006336D0">
              <w:t>50-69</w:t>
            </w:r>
          </w:p>
        </w:tc>
        <w:tc>
          <w:tcPr>
            <w:tcW w:w="810" w:type="dxa"/>
          </w:tcPr>
          <w:p w14:paraId="7844725C" w14:textId="71445DDF" w:rsidR="000F2CC8" w:rsidRDefault="000F2CC8" w:rsidP="000F2CC8">
            <w:r w:rsidRPr="006336D0">
              <w:t>35%</w:t>
            </w:r>
          </w:p>
        </w:tc>
      </w:tr>
      <w:tr w:rsidR="000F2CC8" w14:paraId="045C1969" w14:textId="77777777" w:rsidTr="000F2CC8">
        <w:tc>
          <w:tcPr>
            <w:tcW w:w="1684" w:type="dxa"/>
          </w:tcPr>
          <w:p w14:paraId="729A477D" w14:textId="24F40427" w:rsidR="000F2CC8" w:rsidRDefault="000F2CC8" w:rsidP="000F2CC8">
            <w:r w:rsidRPr="006336D0">
              <w:t>70-89</w:t>
            </w:r>
          </w:p>
        </w:tc>
        <w:tc>
          <w:tcPr>
            <w:tcW w:w="810" w:type="dxa"/>
          </w:tcPr>
          <w:p w14:paraId="23B57BD3" w14:textId="599EBCA3" w:rsidR="000F2CC8" w:rsidRDefault="000F2CC8" w:rsidP="000F2CC8">
            <w:r w:rsidRPr="006336D0">
              <w:t>28%</w:t>
            </w:r>
          </w:p>
        </w:tc>
      </w:tr>
      <w:tr w:rsidR="000F2CC8" w14:paraId="73A38AF0" w14:textId="77777777" w:rsidTr="000F2CC8">
        <w:tc>
          <w:tcPr>
            <w:tcW w:w="1684" w:type="dxa"/>
          </w:tcPr>
          <w:p w14:paraId="5C4776C2" w14:textId="52E4AE02" w:rsidR="000F2CC8" w:rsidRDefault="000F2CC8" w:rsidP="000F2CC8">
            <w:r w:rsidRPr="006336D0">
              <w:t>90+</w:t>
            </w:r>
          </w:p>
        </w:tc>
        <w:tc>
          <w:tcPr>
            <w:tcW w:w="810" w:type="dxa"/>
          </w:tcPr>
          <w:p w14:paraId="3CA3D15C" w14:textId="1DD520C2" w:rsidR="000F2CC8" w:rsidRDefault="000F2CC8" w:rsidP="000F2CC8">
            <w:r w:rsidRPr="006336D0">
              <w:t>7%</w:t>
            </w:r>
          </w:p>
        </w:tc>
      </w:tr>
    </w:tbl>
    <w:p w14:paraId="629D509C" w14:textId="1D16EB9F" w:rsidR="000F2CC8" w:rsidRDefault="000F2CC8" w:rsidP="000F2CC8"/>
    <w:p w14:paraId="053B6D78" w14:textId="65D02189" w:rsidR="000F2CC8" w:rsidRDefault="000F2CC8" w:rsidP="000F2CC8">
      <w:pPr>
        <w:pStyle w:val="Heading2"/>
      </w:pPr>
      <w:r>
        <w:t>Client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810"/>
      </w:tblGrid>
      <w:tr w:rsidR="000F2CC8" w14:paraId="75663D46" w14:textId="77777777" w:rsidTr="000F2CC8">
        <w:tc>
          <w:tcPr>
            <w:tcW w:w="1684" w:type="dxa"/>
          </w:tcPr>
          <w:p w14:paraId="53E34EBD" w14:textId="3EC46FF2" w:rsidR="000F2CC8" w:rsidRDefault="000F2CC8" w:rsidP="000F2CC8">
            <w:r w:rsidRPr="00507652">
              <w:t>Male</w:t>
            </w:r>
          </w:p>
        </w:tc>
        <w:tc>
          <w:tcPr>
            <w:tcW w:w="810" w:type="dxa"/>
          </w:tcPr>
          <w:p w14:paraId="525080B3" w14:textId="654F6FDA" w:rsidR="000F2CC8" w:rsidRDefault="000F2CC8" w:rsidP="000F2CC8">
            <w:r w:rsidRPr="00507652">
              <w:t>49.4%</w:t>
            </w:r>
          </w:p>
        </w:tc>
      </w:tr>
      <w:tr w:rsidR="000F2CC8" w14:paraId="297F084A" w14:textId="77777777" w:rsidTr="000F2CC8">
        <w:tc>
          <w:tcPr>
            <w:tcW w:w="1684" w:type="dxa"/>
          </w:tcPr>
          <w:p w14:paraId="6E4995FF" w14:textId="41B73420" w:rsidR="000F2CC8" w:rsidRDefault="000F2CC8" w:rsidP="000F2CC8">
            <w:r w:rsidRPr="00507652">
              <w:t>Female</w:t>
            </w:r>
          </w:p>
        </w:tc>
        <w:tc>
          <w:tcPr>
            <w:tcW w:w="810" w:type="dxa"/>
          </w:tcPr>
          <w:p w14:paraId="180C4350" w14:textId="35D6E52E" w:rsidR="000F2CC8" w:rsidRDefault="000F2CC8" w:rsidP="000F2CC8">
            <w:r w:rsidRPr="00507652">
              <w:t>46.3%</w:t>
            </w:r>
          </w:p>
        </w:tc>
      </w:tr>
      <w:tr w:rsidR="000F2CC8" w14:paraId="33455353" w14:textId="77777777" w:rsidTr="000F2CC8">
        <w:tc>
          <w:tcPr>
            <w:tcW w:w="1684" w:type="dxa"/>
          </w:tcPr>
          <w:p w14:paraId="096DC984" w14:textId="23DD2D78" w:rsidR="000F2CC8" w:rsidRDefault="000F2CC8" w:rsidP="000F2CC8">
            <w:r w:rsidRPr="00507652">
              <w:t>Unknown/Other</w:t>
            </w:r>
          </w:p>
        </w:tc>
        <w:tc>
          <w:tcPr>
            <w:tcW w:w="810" w:type="dxa"/>
          </w:tcPr>
          <w:p w14:paraId="53D87D22" w14:textId="0E013350" w:rsidR="000F2CC8" w:rsidRDefault="000F2CC8" w:rsidP="000F2CC8">
            <w:r w:rsidRPr="00507652">
              <w:t>4.3%</w:t>
            </w:r>
          </w:p>
        </w:tc>
      </w:tr>
    </w:tbl>
    <w:p w14:paraId="2614C0F6" w14:textId="77777777" w:rsidR="000F2CC8" w:rsidRPr="000F2CC8" w:rsidRDefault="000F2CC8" w:rsidP="000F2CC8"/>
    <w:p w14:paraId="49B06E46" w14:textId="4A8DCC7A" w:rsidR="000F2CC8" w:rsidRPr="000F2CC8" w:rsidRDefault="000F2CC8" w:rsidP="000F2CC8">
      <w:pPr>
        <w:pStyle w:val="Heading1"/>
      </w:pPr>
      <w:r>
        <w:t>YEAR IN REVIEW</w:t>
      </w:r>
    </w:p>
    <w:p w14:paraId="5937001C" w14:textId="0A9F130E" w:rsidR="000F2CC8" w:rsidRPr="000F2CC8" w:rsidRDefault="000F2CC8" w:rsidP="000F2CC8">
      <w:r w:rsidRPr="000F2CC8">
        <w:t>The 2021/2022 Fiscal Year represented a year of stabilization and solidification for VCB of the tremendous growth in the prior year. While VCB saw significant improvements throughout the year in a variety of areas, including clients provided training, which increased 35% and fundraising/donation income, which increased 64% from the prior year, the overall budget and staff size remained stable as new programs and partnerships were being developed and contracts successfully won in this year.</w:t>
      </w:r>
    </w:p>
    <w:p w14:paraId="20FEAC33" w14:textId="13AAB2BE" w:rsidR="000F2CC8" w:rsidRPr="000F2CC8" w:rsidRDefault="000F2CC8" w:rsidP="000F2CC8">
      <w:r w:rsidRPr="000F2CC8">
        <w:t xml:space="preserve">Some of the exciting programmatic elements which impacted the organization involved the post-pandemic return to more engaging social and wellness activities. The fiscal year launched with a successful and resounding cheer of empowerment through the return of White Cane Day, a </w:t>
      </w:r>
      <w:proofErr w:type="gramStart"/>
      <w:r w:rsidRPr="000F2CC8">
        <w:t>national day of celebration</w:t>
      </w:r>
      <w:proofErr w:type="gramEnd"/>
      <w:r w:rsidRPr="000F2CC8">
        <w:t xml:space="preserve"> of the abilities of people with vision loss. VCB coordinated a </w:t>
      </w:r>
      <w:proofErr w:type="gramStart"/>
      <w:r w:rsidRPr="000F2CC8">
        <w:t>walk through</w:t>
      </w:r>
      <w:proofErr w:type="gramEnd"/>
      <w:r w:rsidRPr="000F2CC8">
        <w:t xml:space="preserve"> Woodward Park in Fresno with a Taco Truck lunch and had robust attendance. VCB also officially resumed Adaptive Sports workshops this year, giving people who are blind in the Central Valley the opportunity to rock climb, kayak, wakeboard, camp, and more. These transformative experiences have a dramatic impact on self-perception. One client said, “It was very humbling seeing my totally blind friends overcome their life challenges and reach their goals. I was so moved from the experience - I think anyone would be.”</w:t>
      </w:r>
    </w:p>
    <w:p w14:paraId="42D89A2A" w14:textId="77777777" w:rsidR="000F2CC8" w:rsidRDefault="000F2CC8" w:rsidP="000F2CC8">
      <w:r w:rsidRPr="000F2CC8">
        <w:t xml:space="preserve">Other program elements which show great promise in the future of VCB include the growth of the Employment Services Program and the launch of VCB's Work Readiness Training Programs. “We were giving our clients all of this training with the hope that they would eventually be employed, but it wasn’t happening,” says Employment Specialist Jamie Gibson-Barrows. </w:t>
      </w:r>
      <w:proofErr w:type="gramStart"/>
      <w:r w:rsidRPr="000F2CC8">
        <w:t>”We</w:t>
      </w:r>
      <w:proofErr w:type="gramEnd"/>
      <w:r w:rsidRPr="000F2CC8">
        <w:t xml:space="preserve"> realized there was a need within our community to help people who are blind </w:t>
      </w:r>
      <w:proofErr w:type="gramStart"/>
      <w:r w:rsidRPr="000F2CC8">
        <w:t>or</w:t>
      </w:r>
      <w:proofErr w:type="gramEnd"/>
      <w:r w:rsidRPr="000F2CC8">
        <w:t xml:space="preserve"> low vision find employment. So, we did it. We put a team together and created a program that would help.” Placements in this fiscal year for clients include great jobs such as paralegal intern, prep chef, IRS customer service representative, medical clinic receptionist, and legal assistant at a reputable law firm.</w:t>
      </w:r>
    </w:p>
    <w:p w14:paraId="44D9AA8A" w14:textId="4A6F9482" w:rsidR="000F2CC8" w:rsidRDefault="000F2CC8" w:rsidP="000F2CC8">
      <w:r>
        <w:t>Many professional jobs are only possible with substantial skill-building, and traditional training or educational opportunities are often inaccessible for people experiencing vision loss. VCB's new Work Readiness Training Programs partner with World Services for the Blind, the premiere one-of-a-kind vocational training program in the US for people who are blind that boasts an incredible 85% successful placement rate for graduates of their career training programs, many of which offer industry standard certifications. VCB will be facilitating programs in great career paths such as Assistive Technology Instructor, Call Center Specialist, Certified Credit Counselor, Certified Medical Billing Representative, and more!</w:t>
      </w:r>
    </w:p>
    <w:p w14:paraId="082BDA20" w14:textId="35A12BB9" w:rsidR="000F2CC8" w:rsidRDefault="000F2CC8" w:rsidP="000F2CC8">
      <w:r>
        <w:t xml:space="preserve">VCB significantly increased our community awareness efforts in 21/22, attending over 30 community events, including large community gatherings, presentations at senior centers, tables at vaccination fairs, and attending Central California Optometric Society meetings. Thanks to a variety of partnerships, </w:t>
      </w:r>
      <w:r>
        <w:lastRenderedPageBreak/>
        <w:t xml:space="preserve">two billboards along the </w:t>
      </w:r>
      <w:proofErr w:type="gramStart"/>
      <w:r>
        <w:t>99 freeway</w:t>
      </w:r>
      <w:proofErr w:type="gramEnd"/>
      <w:r>
        <w:t xml:space="preserve"> shared positive messages and images about blindness and our organization to countless drivers. VCB also partnered with United Way Fresno and Madera Counties on a pilot program to provide free accessible tax prep to people who are blind or have other disabilities. This program involved leveraging United Way's considerable reach to promote VCB's programs, exposing new segments of the community and increasing VCB's value. In Kern County, VCB worked with a local restaurant to create an accessible art feature for the blind, which drew significant community attention in the newspapers and local news. </w:t>
      </w:r>
    </w:p>
    <w:p w14:paraId="58D64C23" w14:textId="155BC14A" w:rsidR="000F2CC8" w:rsidRDefault="000F2CC8" w:rsidP="000F2CC8">
      <w:r>
        <w:t>Additionally, local eye-related healthcare providers attended our "Wine Tasting in the Dark" mixer to learn more about VCB's services for their patients and improve referral pathways. Finally, VCB's involvement in solidifying CAABVI (California Agencies for the Blind and Visually Impaired) as an independent and productive entity by gaining 501c3 status and hiring its own founding Executive Director, Anita Aaron, cemented VCB's "place at the table" in state advocacy efforts, setting a foundation for the substantial work to be done across the state to improve the lives of people who are blind or have low vision.</w:t>
      </w:r>
    </w:p>
    <w:p w14:paraId="4E069633" w14:textId="77777777" w:rsidR="000F2CC8" w:rsidRDefault="000F2CC8" w:rsidP="000F2CC8"/>
    <w:p w14:paraId="7C150254" w14:textId="76367AAB" w:rsidR="009A49BD" w:rsidRDefault="009A49BD" w:rsidP="009A49BD">
      <w:pPr>
        <w:pStyle w:val="Heading1"/>
      </w:pPr>
      <w:r>
        <w:t>WORKFORCE DEVELOPMENT</w:t>
      </w:r>
    </w:p>
    <w:p w14:paraId="3F10160F" w14:textId="31063E03" w:rsidR="009A49BD" w:rsidRDefault="009A49BD" w:rsidP="009A49BD">
      <w:r w:rsidRPr="009A49BD">
        <w:t>Here are the top three Workforce Development highlights from FY 2021/2022:</w:t>
      </w:r>
    </w:p>
    <w:p w14:paraId="4FDEEDC7" w14:textId="77777777" w:rsidR="009A49BD" w:rsidRDefault="009A49BD" w:rsidP="009A49BD">
      <w:pPr>
        <w:pStyle w:val="Heading3"/>
      </w:pPr>
      <w:r>
        <w:t xml:space="preserve">VCB Workforce Development Director Receives NIB Award </w:t>
      </w:r>
    </w:p>
    <w:p w14:paraId="2A942D5A" w14:textId="3654C056" w:rsidR="009A49BD" w:rsidRDefault="009A49BD" w:rsidP="009A49BD">
      <w:r>
        <w:t>In April, Reynaldo Villarreal, VCB's Workforce Development Director, was awarded the highly prestigious Milton J. Samuelson Career Achievement Award from National Industries for the Blind (NIB), for his outstanding work to support and maintain VCB's initial jobs programs. This recognition, both for Reynaldo and for VCB, helped to improve the national opinion of the organization.</w:t>
      </w:r>
    </w:p>
    <w:p w14:paraId="6F331933" w14:textId="77777777" w:rsidR="009A49BD" w:rsidRDefault="009A49BD" w:rsidP="009A49BD">
      <w:pPr>
        <w:pStyle w:val="Heading3"/>
      </w:pPr>
      <w:r>
        <w:t xml:space="preserve">First Federal Contract for VCB </w:t>
      </w:r>
    </w:p>
    <w:p w14:paraId="1654EFC1" w14:textId="165AAC05" w:rsidR="009A49BD" w:rsidRDefault="009A49BD" w:rsidP="009A49BD">
      <w:r>
        <w:t>VCB gained its first federal government contract assignment for the Office of Personnel Management, Office of the Inspector General Hotline Call Center. After years of unsuccessful solicitations with NIB, this assignment was a monumental win for the organization and represented the culmination of years of relationship-building and past performance to create more accessible internal positions.</w:t>
      </w:r>
    </w:p>
    <w:p w14:paraId="25B1825F" w14:textId="77777777" w:rsidR="009A49BD" w:rsidRDefault="009A49BD" w:rsidP="009A49BD">
      <w:pPr>
        <w:pStyle w:val="Heading3"/>
      </w:pPr>
      <w:r>
        <w:t xml:space="preserve">New Federal Funding for Jobs Training and Case Management </w:t>
      </w:r>
    </w:p>
    <w:p w14:paraId="239F0E2E" w14:textId="25E34CFB" w:rsidR="009A49BD" w:rsidRDefault="009A49BD" w:rsidP="009A49BD">
      <w:r>
        <w:t>The U.S. Economic Development Administration announced VCB as a subrecipient of the Good Jobs Challenge. This funding is to help individuals who are historically marginalized receive job skills training and upward mobility to attain sustainable jobs. For VCB, this is primarily in the office skills or manufacturing industries. The grant covers a significant portion of our case management costs, which is the first time that type of funding has been available to us.</w:t>
      </w:r>
    </w:p>
    <w:p w14:paraId="670F7DF5" w14:textId="77777777" w:rsidR="009A49BD" w:rsidRDefault="009A49BD" w:rsidP="009A49BD"/>
    <w:p w14:paraId="7A5327D6" w14:textId="77777777" w:rsidR="009A49BD" w:rsidRDefault="009A49BD" w:rsidP="009A49BD"/>
    <w:p w14:paraId="33925D02" w14:textId="77B04AAC" w:rsidR="009A49BD" w:rsidRDefault="009A49BD" w:rsidP="009A49BD">
      <w:pPr>
        <w:pStyle w:val="Heading1"/>
      </w:pPr>
      <w:r>
        <w:t>THANK YOU</w:t>
      </w:r>
    </w:p>
    <w:p w14:paraId="110EC9DB" w14:textId="0FFBB67E" w:rsidR="009A49BD" w:rsidRDefault="009A49BD" w:rsidP="009A49BD">
      <w:r w:rsidRPr="009A49BD">
        <w:t xml:space="preserve">Thanks to you, VCB has been able to support almost 500 people this year on their journey towards independence and employment through training. Throughout Fiscal Year 2021/2022, not only have we </w:t>
      </w:r>
      <w:r w:rsidRPr="009A49BD">
        <w:lastRenderedPageBreak/>
        <w:t xml:space="preserve">shown our resilience after such a rough pandemic, but we’ve also been able to demonstrate our increasing capabilities of achieving so much alongside community partners like you. The amount of growth we have accomplished in this fiscal year has significantly contributed to Valley Center for the Blind’s notoriety amongst our local and federal governments as well as statewide and national advocacy groups for our blind and low vision community. We appreciate all who supported VCB by joining our mission to support, train, and employ people who are blind or have low vision.  </w:t>
      </w:r>
    </w:p>
    <w:p w14:paraId="160D3D1D" w14:textId="104FBAEC" w:rsidR="009A49BD" w:rsidRPr="009A49BD" w:rsidRDefault="009A49BD" w:rsidP="009A49BD">
      <w:pPr>
        <w:pStyle w:val="Heading2"/>
        <w:rPr>
          <w:sz w:val="28"/>
          <w:szCs w:val="28"/>
        </w:rPr>
      </w:pPr>
      <w:r w:rsidRPr="009A49BD">
        <w:rPr>
          <w:sz w:val="24"/>
          <w:szCs w:val="24"/>
        </w:rPr>
        <w:t>A SPECIAL THANK YOU TO OUR MAJOR SUPPORTERS AND PARTNERS</w:t>
      </w:r>
    </w:p>
    <w:p w14:paraId="18CC179F" w14:textId="77777777" w:rsidR="009A49BD" w:rsidRDefault="009A49BD" w:rsidP="009A49BD">
      <w:pPr>
        <w:pStyle w:val="ListParagraph"/>
        <w:numPr>
          <w:ilvl w:val="0"/>
          <w:numId w:val="5"/>
        </w:numPr>
      </w:pPr>
      <w:r>
        <w:t xml:space="preserve">CA Department of Rehabilitation </w:t>
      </w:r>
    </w:p>
    <w:p w14:paraId="68B2E648" w14:textId="77777777" w:rsidR="009A49BD" w:rsidRDefault="009A49BD" w:rsidP="009A49BD">
      <w:pPr>
        <w:pStyle w:val="ListParagraph"/>
        <w:numPr>
          <w:ilvl w:val="0"/>
          <w:numId w:val="5"/>
        </w:numPr>
      </w:pPr>
      <w:r>
        <w:t xml:space="preserve">Goodwill of the Finger Lakes </w:t>
      </w:r>
    </w:p>
    <w:p w14:paraId="323948D9" w14:textId="77777777" w:rsidR="009A49BD" w:rsidRDefault="009A49BD" w:rsidP="009A49BD">
      <w:pPr>
        <w:pStyle w:val="ListParagraph"/>
        <w:numPr>
          <w:ilvl w:val="0"/>
          <w:numId w:val="5"/>
        </w:numPr>
      </w:pPr>
      <w:r>
        <w:t xml:space="preserve">Beyond Vision  </w:t>
      </w:r>
    </w:p>
    <w:p w14:paraId="5AAC8DDD" w14:textId="77777777" w:rsidR="009A49BD" w:rsidRDefault="009A49BD" w:rsidP="009A49BD">
      <w:pPr>
        <w:pStyle w:val="ListParagraph"/>
        <w:numPr>
          <w:ilvl w:val="0"/>
          <w:numId w:val="5"/>
        </w:numPr>
      </w:pPr>
      <w:r>
        <w:t xml:space="preserve">Exceptional Parents Unlimited, Inc. </w:t>
      </w:r>
    </w:p>
    <w:p w14:paraId="28CB39BE" w14:textId="77777777" w:rsidR="009A49BD" w:rsidRDefault="009A49BD" w:rsidP="009A49BD">
      <w:pPr>
        <w:pStyle w:val="ListParagraph"/>
        <w:numPr>
          <w:ilvl w:val="0"/>
          <w:numId w:val="5"/>
        </w:numPr>
      </w:pPr>
      <w:r>
        <w:t xml:space="preserve">Title 7 Chapter 2 </w:t>
      </w:r>
    </w:p>
    <w:p w14:paraId="1772FB6D" w14:textId="77777777" w:rsidR="009A49BD" w:rsidRDefault="009A49BD" w:rsidP="009A49BD">
      <w:pPr>
        <w:pStyle w:val="ListParagraph"/>
        <w:numPr>
          <w:ilvl w:val="0"/>
          <w:numId w:val="5"/>
        </w:numPr>
      </w:pPr>
      <w:r>
        <w:t xml:space="preserve">United Way of Fresno &amp; Madera Counties </w:t>
      </w:r>
    </w:p>
    <w:p w14:paraId="3124506D" w14:textId="77777777" w:rsidR="009A49BD" w:rsidRDefault="009A49BD" w:rsidP="009A49BD">
      <w:pPr>
        <w:pStyle w:val="ListParagraph"/>
        <w:numPr>
          <w:ilvl w:val="0"/>
          <w:numId w:val="5"/>
        </w:numPr>
      </w:pPr>
      <w:r>
        <w:t xml:space="preserve">EYE-Q Vision Care </w:t>
      </w:r>
    </w:p>
    <w:p w14:paraId="592E388B" w14:textId="77777777" w:rsidR="009A49BD" w:rsidRDefault="009A49BD" w:rsidP="009A49BD">
      <w:pPr>
        <w:pStyle w:val="ListParagraph"/>
        <w:numPr>
          <w:ilvl w:val="0"/>
          <w:numId w:val="5"/>
        </w:numPr>
      </w:pPr>
      <w:r>
        <w:t xml:space="preserve">CA Department of Corrections </w:t>
      </w:r>
      <w:proofErr w:type="gramStart"/>
      <w:r>
        <w:t>&amp;  Rehabilitation</w:t>
      </w:r>
      <w:proofErr w:type="gramEnd"/>
      <w:r>
        <w:t xml:space="preserve"> </w:t>
      </w:r>
    </w:p>
    <w:p w14:paraId="5D3C0942" w14:textId="77777777" w:rsidR="009A49BD" w:rsidRDefault="009A49BD" w:rsidP="009A49BD">
      <w:pPr>
        <w:pStyle w:val="ListParagraph"/>
        <w:numPr>
          <w:ilvl w:val="0"/>
          <w:numId w:val="5"/>
        </w:numPr>
      </w:pPr>
      <w:r>
        <w:t xml:space="preserve">Enterprise Holdings Foundation </w:t>
      </w:r>
    </w:p>
    <w:p w14:paraId="094F4F9D" w14:textId="633BFDDE" w:rsidR="000F2CC8" w:rsidRDefault="009A49BD" w:rsidP="009A49BD">
      <w:pPr>
        <w:pStyle w:val="ListParagraph"/>
        <w:numPr>
          <w:ilvl w:val="0"/>
          <w:numId w:val="5"/>
        </w:numPr>
      </w:pPr>
      <w:r>
        <w:t>Inspiration Foundation</w:t>
      </w:r>
    </w:p>
    <w:p w14:paraId="6C26C14A" w14:textId="77777777" w:rsidR="009A49BD" w:rsidRDefault="009A49BD" w:rsidP="009A49BD">
      <w:pPr>
        <w:pStyle w:val="ListParagraph"/>
        <w:numPr>
          <w:ilvl w:val="0"/>
          <w:numId w:val="5"/>
        </w:numPr>
      </w:pPr>
      <w:r>
        <w:t xml:space="preserve">Dr. Pardeep &amp; Ramneek Bhullar </w:t>
      </w:r>
    </w:p>
    <w:p w14:paraId="25D2240D" w14:textId="77777777" w:rsidR="009A49BD" w:rsidRDefault="009A49BD" w:rsidP="009A49BD">
      <w:pPr>
        <w:pStyle w:val="ListParagraph"/>
        <w:numPr>
          <w:ilvl w:val="0"/>
          <w:numId w:val="5"/>
        </w:numPr>
      </w:pPr>
      <w:r>
        <w:t xml:space="preserve">James W. Kaufmann </w:t>
      </w:r>
    </w:p>
    <w:p w14:paraId="09BDDD6B" w14:textId="77777777" w:rsidR="009A49BD" w:rsidRDefault="009A49BD" w:rsidP="009A49BD">
      <w:pPr>
        <w:pStyle w:val="ListParagraph"/>
        <w:numPr>
          <w:ilvl w:val="0"/>
          <w:numId w:val="5"/>
        </w:numPr>
      </w:pPr>
      <w:r>
        <w:t xml:space="preserve">George &amp; Sheila Saxelby </w:t>
      </w:r>
    </w:p>
    <w:p w14:paraId="53E40B6A" w14:textId="77777777" w:rsidR="009A49BD" w:rsidRDefault="009A49BD" w:rsidP="009A49BD">
      <w:pPr>
        <w:pStyle w:val="ListParagraph"/>
        <w:numPr>
          <w:ilvl w:val="0"/>
          <w:numId w:val="5"/>
        </w:numPr>
      </w:pPr>
      <w:r>
        <w:t xml:space="preserve">Shaver Lake Lions Club </w:t>
      </w:r>
    </w:p>
    <w:p w14:paraId="6E96CE87" w14:textId="77777777" w:rsidR="009A49BD" w:rsidRDefault="009A49BD" w:rsidP="009A49BD">
      <w:pPr>
        <w:pStyle w:val="ListParagraph"/>
        <w:numPr>
          <w:ilvl w:val="0"/>
          <w:numId w:val="5"/>
        </w:numPr>
      </w:pPr>
      <w:r>
        <w:t xml:space="preserve">Linda </w:t>
      </w:r>
      <w:proofErr w:type="spellStart"/>
      <w:r>
        <w:t>Sidlinger</w:t>
      </w:r>
      <w:proofErr w:type="spellEnd"/>
      <w:r>
        <w:t xml:space="preserve"> </w:t>
      </w:r>
    </w:p>
    <w:p w14:paraId="2A7DF5E6" w14:textId="77777777" w:rsidR="009A49BD" w:rsidRDefault="009A49BD" w:rsidP="009A49BD">
      <w:pPr>
        <w:pStyle w:val="ListParagraph"/>
        <w:numPr>
          <w:ilvl w:val="0"/>
          <w:numId w:val="5"/>
        </w:numPr>
      </w:pPr>
      <w:r>
        <w:t xml:space="preserve">Mark A. </w:t>
      </w:r>
      <w:proofErr w:type="spellStart"/>
      <w:r>
        <w:t>Sidlinger</w:t>
      </w:r>
      <w:proofErr w:type="spellEnd"/>
      <w:r>
        <w:t xml:space="preserve"> </w:t>
      </w:r>
    </w:p>
    <w:p w14:paraId="3D4F3EEA" w14:textId="77777777" w:rsidR="009A49BD" w:rsidRDefault="009A49BD" w:rsidP="009A49BD">
      <w:pPr>
        <w:pStyle w:val="ListParagraph"/>
        <w:numPr>
          <w:ilvl w:val="0"/>
          <w:numId w:val="5"/>
        </w:numPr>
      </w:pPr>
      <w:r>
        <w:t xml:space="preserve">Sterling </w:t>
      </w:r>
      <w:proofErr w:type="spellStart"/>
      <w:r>
        <w:t>Adaptives</w:t>
      </w:r>
      <w:proofErr w:type="spellEnd"/>
      <w:r>
        <w:t xml:space="preserve"> </w:t>
      </w:r>
    </w:p>
    <w:p w14:paraId="242D5FFD" w14:textId="77777777" w:rsidR="009A49BD" w:rsidRDefault="009A49BD" w:rsidP="009A49BD">
      <w:pPr>
        <w:pStyle w:val="ListParagraph"/>
        <w:numPr>
          <w:ilvl w:val="0"/>
          <w:numId w:val="5"/>
        </w:numPr>
      </w:pPr>
      <w:r>
        <w:t xml:space="preserve">Greg Stobbe </w:t>
      </w:r>
    </w:p>
    <w:p w14:paraId="7BC84399" w14:textId="77777777" w:rsidR="009A49BD" w:rsidRDefault="009A49BD" w:rsidP="009A49BD">
      <w:pPr>
        <w:pStyle w:val="ListParagraph"/>
        <w:numPr>
          <w:ilvl w:val="0"/>
          <w:numId w:val="5"/>
        </w:numPr>
      </w:pPr>
      <w:r>
        <w:t xml:space="preserve">Wayne Long &amp; Co. </w:t>
      </w:r>
    </w:p>
    <w:p w14:paraId="2C87AC19" w14:textId="4CD64ADA" w:rsidR="009A49BD" w:rsidRDefault="009A49BD" w:rsidP="009A49BD">
      <w:pPr>
        <w:pStyle w:val="ListParagraph"/>
        <w:numPr>
          <w:ilvl w:val="0"/>
          <w:numId w:val="5"/>
        </w:numPr>
      </w:pPr>
      <w:r>
        <w:t>Wonderful Philanthropy</w:t>
      </w:r>
    </w:p>
    <w:p w14:paraId="42893817" w14:textId="77777777" w:rsidR="009A49BD" w:rsidRDefault="009A49BD" w:rsidP="009A49BD"/>
    <w:p w14:paraId="678E1534" w14:textId="140A1113" w:rsidR="009A49BD" w:rsidRDefault="009A49BD" w:rsidP="009A49BD">
      <w:pPr>
        <w:pStyle w:val="Heading2"/>
      </w:pPr>
      <w:r>
        <w:t>CONTACT US</w:t>
      </w:r>
    </w:p>
    <w:p w14:paraId="186DAADF" w14:textId="1F2C1A88" w:rsidR="009A49BD" w:rsidRDefault="009A49BD" w:rsidP="009A49BD">
      <w:r w:rsidRPr="009A49BD">
        <w:t xml:space="preserve">For any questions regarding our Annual Report or how you can continue to support our mission, please contact us at (559)222-4447 or our Bakersfield office at (661)865-5115. You can also email us at </w:t>
      </w:r>
      <w:hyperlink r:id="rId7" w:history="1">
        <w:r w:rsidRPr="007337CD">
          <w:rPr>
            <w:rStyle w:val="Hyperlink"/>
          </w:rPr>
          <w:t>info@myvcb.org</w:t>
        </w:r>
      </w:hyperlink>
      <w:r w:rsidRPr="009A49BD">
        <w:t>.</w:t>
      </w:r>
      <w:r>
        <w:t xml:space="preserve"> </w:t>
      </w:r>
    </w:p>
    <w:p w14:paraId="56F5C5A2" w14:textId="0D5B0E72" w:rsidR="00E94E98" w:rsidRPr="00E94E98" w:rsidRDefault="009A49BD" w:rsidP="009A49BD">
      <w:pPr>
        <w:rPr>
          <w:sz w:val="24"/>
          <w:szCs w:val="24"/>
        </w:rPr>
      </w:pPr>
      <w:r>
        <w:rPr>
          <w:rStyle w:val="oypena"/>
          <w:color w:val="000000"/>
        </w:rPr>
        <w:t>Be sure to follow us on social media and listen to The VCB Podcast for all the latest VCB news!</w:t>
      </w:r>
    </w:p>
    <w:p w14:paraId="31FF7AAB" w14:textId="77777777" w:rsidR="00C1721E" w:rsidRPr="00515CD5" w:rsidRDefault="00C1721E" w:rsidP="00C1721E">
      <w:pPr>
        <w:spacing w:line="276" w:lineRule="auto"/>
        <w:rPr>
          <w:rFonts w:cstheme="minorHAnsi"/>
          <w:sz w:val="24"/>
          <w:szCs w:val="24"/>
        </w:rPr>
      </w:pPr>
    </w:p>
    <w:sectPr w:rsidR="00C1721E" w:rsidRPr="00515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4933" w14:textId="77777777" w:rsidR="00001912" w:rsidRDefault="00001912" w:rsidP="00E03D3C">
      <w:pPr>
        <w:spacing w:after="0" w:line="240" w:lineRule="auto"/>
      </w:pPr>
      <w:r>
        <w:separator/>
      </w:r>
    </w:p>
  </w:endnote>
  <w:endnote w:type="continuationSeparator" w:id="0">
    <w:p w14:paraId="61B0814B" w14:textId="77777777" w:rsidR="00001912" w:rsidRDefault="00001912" w:rsidP="00E0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B5E8" w14:textId="77777777" w:rsidR="00001912" w:rsidRDefault="00001912" w:rsidP="00E03D3C">
      <w:pPr>
        <w:spacing w:after="0" w:line="240" w:lineRule="auto"/>
      </w:pPr>
      <w:r>
        <w:separator/>
      </w:r>
    </w:p>
  </w:footnote>
  <w:footnote w:type="continuationSeparator" w:id="0">
    <w:p w14:paraId="5B82266C" w14:textId="77777777" w:rsidR="00001912" w:rsidRDefault="00001912" w:rsidP="00E03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903"/>
    <w:multiLevelType w:val="multilevel"/>
    <w:tmpl w:val="594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F44F4"/>
    <w:multiLevelType w:val="hybridMultilevel"/>
    <w:tmpl w:val="13F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A0C70"/>
    <w:multiLevelType w:val="multilevel"/>
    <w:tmpl w:val="A360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E21E6"/>
    <w:multiLevelType w:val="hybridMultilevel"/>
    <w:tmpl w:val="28B4F966"/>
    <w:lvl w:ilvl="0" w:tplc="2BD4AAA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B3796"/>
    <w:multiLevelType w:val="hybridMultilevel"/>
    <w:tmpl w:val="76B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130332">
    <w:abstractNumId w:val="3"/>
  </w:num>
  <w:num w:numId="2" w16cid:durableId="667900682">
    <w:abstractNumId w:val="0"/>
  </w:num>
  <w:num w:numId="3" w16cid:durableId="1280995417">
    <w:abstractNumId w:val="2"/>
  </w:num>
  <w:num w:numId="4" w16cid:durableId="483351328">
    <w:abstractNumId w:val="1"/>
  </w:num>
  <w:num w:numId="5" w16cid:durableId="1972007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A5"/>
    <w:rsid w:val="00001912"/>
    <w:rsid w:val="00076002"/>
    <w:rsid w:val="000F2CC8"/>
    <w:rsid w:val="00121A42"/>
    <w:rsid w:val="001A5030"/>
    <w:rsid w:val="001C7B93"/>
    <w:rsid w:val="002E5D59"/>
    <w:rsid w:val="00313A7A"/>
    <w:rsid w:val="003D4B42"/>
    <w:rsid w:val="003E5139"/>
    <w:rsid w:val="004C49B8"/>
    <w:rsid w:val="00515CD5"/>
    <w:rsid w:val="00541D48"/>
    <w:rsid w:val="00605ED2"/>
    <w:rsid w:val="0067306F"/>
    <w:rsid w:val="00690D19"/>
    <w:rsid w:val="00793E78"/>
    <w:rsid w:val="009525E4"/>
    <w:rsid w:val="009764A5"/>
    <w:rsid w:val="009A49BD"/>
    <w:rsid w:val="00A77CA9"/>
    <w:rsid w:val="00B216D8"/>
    <w:rsid w:val="00B623E4"/>
    <w:rsid w:val="00B72A50"/>
    <w:rsid w:val="00BB1CA9"/>
    <w:rsid w:val="00C1721E"/>
    <w:rsid w:val="00C2518C"/>
    <w:rsid w:val="00C74265"/>
    <w:rsid w:val="00CF0DF7"/>
    <w:rsid w:val="00CF65D1"/>
    <w:rsid w:val="00D51741"/>
    <w:rsid w:val="00E03D3C"/>
    <w:rsid w:val="00E07BD0"/>
    <w:rsid w:val="00E90BE4"/>
    <w:rsid w:val="00E94E98"/>
    <w:rsid w:val="00EF33B3"/>
    <w:rsid w:val="00F57790"/>
    <w:rsid w:val="00F7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1F9B"/>
  <w15:chartTrackingRefBased/>
  <w15:docId w15:val="{1D56FEB6-15F9-4D1A-891A-181FCF77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4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51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64A5"/>
    <w:pPr>
      <w:widowControl w:val="0"/>
      <w:autoSpaceDE w:val="0"/>
      <w:autoSpaceDN w:val="0"/>
      <w:spacing w:after="0" w:line="240" w:lineRule="auto"/>
    </w:pPr>
    <w:rPr>
      <w:rFonts w:ascii="Book Antiqua" w:eastAsia="Book Antiqua" w:hAnsi="Book Antiqua" w:cs="Book Antiqua"/>
      <w:sz w:val="20"/>
      <w:szCs w:val="20"/>
      <w:lang w:bidi="en-US"/>
    </w:rPr>
  </w:style>
  <w:style w:type="character" w:customStyle="1" w:styleId="BodyTextChar">
    <w:name w:val="Body Text Char"/>
    <w:basedOn w:val="DefaultParagraphFont"/>
    <w:link w:val="BodyText"/>
    <w:uiPriority w:val="1"/>
    <w:rsid w:val="009764A5"/>
    <w:rPr>
      <w:rFonts w:ascii="Book Antiqua" w:eastAsia="Book Antiqua" w:hAnsi="Book Antiqua" w:cs="Book Antiqua"/>
      <w:sz w:val="20"/>
      <w:szCs w:val="20"/>
      <w:lang w:bidi="en-US"/>
    </w:rPr>
  </w:style>
  <w:style w:type="character" w:customStyle="1" w:styleId="Heading1Char">
    <w:name w:val="Heading 1 Char"/>
    <w:basedOn w:val="DefaultParagraphFont"/>
    <w:link w:val="Heading1"/>
    <w:uiPriority w:val="9"/>
    <w:rsid w:val="003D4B4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D4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B4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4B4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3E78"/>
    <w:rPr>
      <w:color w:val="0563C1" w:themeColor="hyperlink"/>
      <w:u w:val="single"/>
    </w:rPr>
  </w:style>
  <w:style w:type="character" w:styleId="UnresolvedMention">
    <w:name w:val="Unresolved Mention"/>
    <w:basedOn w:val="DefaultParagraphFont"/>
    <w:uiPriority w:val="99"/>
    <w:semiHidden/>
    <w:unhideWhenUsed/>
    <w:rsid w:val="00793E78"/>
    <w:rPr>
      <w:color w:val="605E5C"/>
      <w:shd w:val="clear" w:color="auto" w:fill="E1DFDD"/>
    </w:rPr>
  </w:style>
  <w:style w:type="paragraph" w:styleId="NoSpacing">
    <w:name w:val="No Spacing"/>
    <w:uiPriority w:val="1"/>
    <w:qFormat/>
    <w:rsid w:val="00D51741"/>
    <w:pPr>
      <w:spacing w:after="0" w:line="240" w:lineRule="auto"/>
    </w:pPr>
  </w:style>
  <w:style w:type="paragraph" w:styleId="Header">
    <w:name w:val="header"/>
    <w:basedOn w:val="Normal"/>
    <w:link w:val="HeaderChar"/>
    <w:uiPriority w:val="99"/>
    <w:unhideWhenUsed/>
    <w:rsid w:val="00E03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D3C"/>
  </w:style>
  <w:style w:type="paragraph" w:styleId="Footer">
    <w:name w:val="footer"/>
    <w:basedOn w:val="Normal"/>
    <w:link w:val="FooterChar"/>
    <w:uiPriority w:val="99"/>
    <w:unhideWhenUsed/>
    <w:rsid w:val="00E03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D3C"/>
  </w:style>
  <w:style w:type="paragraph" w:styleId="ListParagraph">
    <w:name w:val="List Paragraph"/>
    <w:basedOn w:val="Normal"/>
    <w:uiPriority w:val="34"/>
    <w:qFormat/>
    <w:rsid w:val="00690D19"/>
    <w:pPr>
      <w:ind w:left="720"/>
      <w:contextualSpacing/>
    </w:pPr>
  </w:style>
  <w:style w:type="character" w:customStyle="1" w:styleId="Heading3Char">
    <w:name w:val="Heading 3 Char"/>
    <w:basedOn w:val="DefaultParagraphFont"/>
    <w:link w:val="Heading3"/>
    <w:uiPriority w:val="9"/>
    <w:rsid w:val="00C2518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7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9A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7135">
      <w:bodyDiv w:val="1"/>
      <w:marLeft w:val="0"/>
      <w:marRight w:val="0"/>
      <w:marTop w:val="0"/>
      <w:marBottom w:val="0"/>
      <w:divBdr>
        <w:top w:val="none" w:sz="0" w:space="0" w:color="auto"/>
        <w:left w:val="none" w:sz="0" w:space="0" w:color="auto"/>
        <w:bottom w:val="none" w:sz="0" w:space="0" w:color="auto"/>
        <w:right w:val="none" w:sz="0" w:space="0" w:color="auto"/>
      </w:divBdr>
    </w:div>
    <w:div w:id="203903797">
      <w:bodyDiv w:val="1"/>
      <w:marLeft w:val="0"/>
      <w:marRight w:val="0"/>
      <w:marTop w:val="0"/>
      <w:marBottom w:val="0"/>
      <w:divBdr>
        <w:top w:val="none" w:sz="0" w:space="0" w:color="auto"/>
        <w:left w:val="none" w:sz="0" w:space="0" w:color="auto"/>
        <w:bottom w:val="none" w:sz="0" w:space="0" w:color="auto"/>
        <w:right w:val="none" w:sz="0" w:space="0" w:color="auto"/>
      </w:divBdr>
    </w:div>
    <w:div w:id="357584037">
      <w:bodyDiv w:val="1"/>
      <w:marLeft w:val="0"/>
      <w:marRight w:val="0"/>
      <w:marTop w:val="0"/>
      <w:marBottom w:val="0"/>
      <w:divBdr>
        <w:top w:val="none" w:sz="0" w:space="0" w:color="auto"/>
        <w:left w:val="none" w:sz="0" w:space="0" w:color="auto"/>
        <w:bottom w:val="none" w:sz="0" w:space="0" w:color="auto"/>
        <w:right w:val="none" w:sz="0" w:space="0" w:color="auto"/>
      </w:divBdr>
    </w:div>
    <w:div w:id="444235574">
      <w:bodyDiv w:val="1"/>
      <w:marLeft w:val="0"/>
      <w:marRight w:val="0"/>
      <w:marTop w:val="0"/>
      <w:marBottom w:val="0"/>
      <w:divBdr>
        <w:top w:val="none" w:sz="0" w:space="0" w:color="auto"/>
        <w:left w:val="none" w:sz="0" w:space="0" w:color="auto"/>
        <w:bottom w:val="none" w:sz="0" w:space="0" w:color="auto"/>
        <w:right w:val="none" w:sz="0" w:space="0" w:color="auto"/>
      </w:divBdr>
    </w:div>
    <w:div w:id="507718813">
      <w:bodyDiv w:val="1"/>
      <w:marLeft w:val="0"/>
      <w:marRight w:val="0"/>
      <w:marTop w:val="0"/>
      <w:marBottom w:val="0"/>
      <w:divBdr>
        <w:top w:val="none" w:sz="0" w:space="0" w:color="auto"/>
        <w:left w:val="none" w:sz="0" w:space="0" w:color="auto"/>
        <w:bottom w:val="none" w:sz="0" w:space="0" w:color="auto"/>
        <w:right w:val="none" w:sz="0" w:space="0" w:color="auto"/>
      </w:divBdr>
    </w:div>
    <w:div w:id="652099122">
      <w:bodyDiv w:val="1"/>
      <w:marLeft w:val="0"/>
      <w:marRight w:val="0"/>
      <w:marTop w:val="0"/>
      <w:marBottom w:val="0"/>
      <w:divBdr>
        <w:top w:val="none" w:sz="0" w:space="0" w:color="auto"/>
        <w:left w:val="none" w:sz="0" w:space="0" w:color="auto"/>
        <w:bottom w:val="none" w:sz="0" w:space="0" w:color="auto"/>
        <w:right w:val="none" w:sz="0" w:space="0" w:color="auto"/>
      </w:divBdr>
    </w:div>
    <w:div w:id="699012557">
      <w:bodyDiv w:val="1"/>
      <w:marLeft w:val="0"/>
      <w:marRight w:val="0"/>
      <w:marTop w:val="0"/>
      <w:marBottom w:val="0"/>
      <w:divBdr>
        <w:top w:val="none" w:sz="0" w:space="0" w:color="auto"/>
        <w:left w:val="none" w:sz="0" w:space="0" w:color="auto"/>
        <w:bottom w:val="none" w:sz="0" w:space="0" w:color="auto"/>
        <w:right w:val="none" w:sz="0" w:space="0" w:color="auto"/>
      </w:divBdr>
    </w:div>
    <w:div w:id="700284579">
      <w:bodyDiv w:val="1"/>
      <w:marLeft w:val="0"/>
      <w:marRight w:val="0"/>
      <w:marTop w:val="0"/>
      <w:marBottom w:val="0"/>
      <w:divBdr>
        <w:top w:val="none" w:sz="0" w:space="0" w:color="auto"/>
        <w:left w:val="none" w:sz="0" w:space="0" w:color="auto"/>
        <w:bottom w:val="none" w:sz="0" w:space="0" w:color="auto"/>
        <w:right w:val="none" w:sz="0" w:space="0" w:color="auto"/>
      </w:divBdr>
    </w:div>
    <w:div w:id="963123948">
      <w:bodyDiv w:val="1"/>
      <w:marLeft w:val="0"/>
      <w:marRight w:val="0"/>
      <w:marTop w:val="0"/>
      <w:marBottom w:val="0"/>
      <w:divBdr>
        <w:top w:val="none" w:sz="0" w:space="0" w:color="auto"/>
        <w:left w:val="none" w:sz="0" w:space="0" w:color="auto"/>
        <w:bottom w:val="none" w:sz="0" w:space="0" w:color="auto"/>
        <w:right w:val="none" w:sz="0" w:space="0" w:color="auto"/>
      </w:divBdr>
    </w:div>
    <w:div w:id="1079908052">
      <w:bodyDiv w:val="1"/>
      <w:marLeft w:val="0"/>
      <w:marRight w:val="0"/>
      <w:marTop w:val="0"/>
      <w:marBottom w:val="0"/>
      <w:divBdr>
        <w:top w:val="none" w:sz="0" w:space="0" w:color="auto"/>
        <w:left w:val="none" w:sz="0" w:space="0" w:color="auto"/>
        <w:bottom w:val="none" w:sz="0" w:space="0" w:color="auto"/>
        <w:right w:val="none" w:sz="0" w:space="0" w:color="auto"/>
      </w:divBdr>
    </w:div>
    <w:div w:id="1200977121">
      <w:bodyDiv w:val="1"/>
      <w:marLeft w:val="0"/>
      <w:marRight w:val="0"/>
      <w:marTop w:val="0"/>
      <w:marBottom w:val="0"/>
      <w:divBdr>
        <w:top w:val="none" w:sz="0" w:space="0" w:color="auto"/>
        <w:left w:val="none" w:sz="0" w:space="0" w:color="auto"/>
        <w:bottom w:val="none" w:sz="0" w:space="0" w:color="auto"/>
        <w:right w:val="none" w:sz="0" w:space="0" w:color="auto"/>
      </w:divBdr>
    </w:div>
    <w:div w:id="1206478688">
      <w:bodyDiv w:val="1"/>
      <w:marLeft w:val="0"/>
      <w:marRight w:val="0"/>
      <w:marTop w:val="0"/>
      <w:marBottom w:val="0"/>
      <w:divBdr>
        <w:top w:val="none" w:sz="0" w:space="0" w:color="auto"/>
        <w:left w:val="none" w:sz="0" w:space="0" w:color="auto"/>
        <w:bottom w:val="none" w:sz="0" w:space="0" w:color="auto"/>
        <w:right w:val="none" w:sz="0" w:space="0" w:color="auto"/>
      </w:divBdr>
    </w:div>
    <w:div w:id="1308439350">
      <w:bodyDiv w:val="1"/>
      <w:marLeft w:val="0"/>
      <w:marRight w:val="0"/>
      <w:marTop w:val="0"/>
      <w:marBottom w:val="0"/>
      <w:divBdr>
        <w:top w:val="none" w:sz="0" w:space="0" w:color="auto"/>
        <w:left w:val="none" w:sz="0" w:space="0" w:color="auto"/>
        <w:bottom w:val="none" w:sz="0" w:space="0" w:color="auto"/>
        <w:right w:val="none" w:sz="0" w:space="0" w:color="auto"/>
      </w:divBdr>
    </w:div>
    <w:div w:id="1326474010">
      <w:bodyDiv w:val="1"/>
      <w:marLeft w:val="0"/>
      <w:marRight w:val="0"/>
      <w:marTop w:val="0"/>
      <w:marBottom w:val="0"/>
      <w:divBdr>
        <w:top w:val="none" w:sz="0" w:space="0" w:color="auto"/>
        <w:left w:val="none" w:sz="0" w:space="0" w:color="auto"/>
        <w:bottom w:val="none" w:sz="0" w:space="0" w:color="auto"/>
        <w:right w:val="none" w:sz="0" w:space="0" w:color="auto"/>
      </w:divBdr>
    </w:div>
    <w:div w:id="1430855309">
      <w:bodyDiv w:val="1"/>
      <w:marLeft w:val="0"/>
      <w:marRight w:val="0"/>
      <w:marTop w:val="0"/>
      <w:marBottom w:val="0"/>
      <w:divBdr>
        <w:top w:val="none" w:sz="0" w:space="0" w:color="auto"/>
        <w:left w:val="none" w:sz="0" w:space="0" w:color="auto"/>
        <w:bottom w:val="none" w:sz="0" w:space="0" w:color="auto"/>
        <w:right w:val="none" w:sz="0" w:space="0" w:color="auto"/>
      </w:divBdr>
    </w:div>
    <w:div w:id="1751079676">
      <w:bodyDiv w:val="1"/>
      <w:marLeft w:val="0"/>
      <w:marRight w:val="0"/>
      <w:marTop w:val="0"/>
      <w:marBottom w:val="0"/>
      <w:divBdr>
        <w:top w:val="none" w:sz="0" w:space="0" w:color="auto"/>
        <w:left w:val="none" w:sz="0" w:space="0" w:color="auto"/>
        <w:bottom w:val="none" w:sz="0" w:space="0" w:color="auto"/>
        <w:right w:val="none" w:sz="0" w:space="0" w:color="auto"/>
      </w:divBdr>
    </w:div>
    <w:div w:id="1840146474">
      <w:bodyDiv w:val="1"/>
      <w:marLeft w:val="0"/>
      <w:marRight w:val="0"/>
      <w:marTop w:val="0"/>
      <w:marBottom w:val="0"/>
      <w:divBdr>
        <w:top w:val="none" w:sz="0" w:space="0" w:color="auto"/>
        <w:left w:val="none" w:sz="0" w:space="0" w:color="auto"/>
        <w:bottom w:val="none" w:sz="0" w:space="0" w:color="auto"/>
        <w:right w:val="none" w:sz="0" w:space="0" w:color="auto"/>
      </w:divBdr>
    </w:div>
    <w:div w:id="1953778951">
      <w:bodyDiv w:val="1"/>
      <w:marLeft w:val="0"/>
      <w:marRight w:val="0"/>
      <w:marTop w:val="0"/>
      <w:marBottom w:val="0"/>
      <w:divBdr>
        <w:top w:val="none" w:sz="0" w:space="0" w:color="auto"/>
        <w:left w:val="none" w:sz="0" w:space="0" w:color="auto"/>
        <w:bottom w:val="none" w:sz="0" w:space="0" w:color="auto"/>
        <w:right w:val="none" w:sz="0" w:space="0" w:color="auto"/>
      </w:divBdr>
    </w:div>
    <w:div w:id="2028869852">
      <w:bodyDiv w:val="1"/>
      <w:marLeft w:val="0"/>
      <w:marRight w:val="0"/>
      <w:marTop w:val="0"/>
      <w:marBottom w:val="0"/>
      <w:divBdr>
        <w:top w:val="none" w:sz="0" w:space="0" w:color="auto"/>
        <w:left w:val="none" w:sz="0" w:space="0" w:color="auto"/>
        <w:bottom w:val="none" w:sz="0" w:space="0" w:color="auto"/>
        <w:right w:val="none" w:sz="0" w:space="0" w:color="auto"/>
      </w:divBdr>
    </w:div>
    <w:div w:id="20991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yvc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Eslick</dc:creator>
  <cp:keywords/>
  <dc:description/>
  <cp:lastModifiedBy>Citlali Medina</cp:lastModifiedBy>
  <cp:revision>4</cp:revision>
  <dcterms:created xsi:type="dcterms:W3CDTF">2023-12-21T16:46:00Z</dcterms:created>
  <dcterms:modified xsi:type="dcterms:W3CDTF">2023-12-21T23:17:00Z</dcterms:modified>
</cp:coreProperties>
</file>